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79375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55880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84"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December 31, 2025</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4"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6"/>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w w:val="97"/>
              </w:rPr>
              <w:t>Commission File Number 000-23125</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80" w:type="dxa"/>
            <w:vAlign w:val="bottom"/>
            <w:tcBorders>
              <w:bottom w:val="single" w:sz="8" w:color="auto"/>
            </w:tcBorders>
            <w:gridSpan w:val="7"/>
          </w:tcPr>
          <w:p>
            <w:pPr>
              <w:spacing w:after="0"/>
              <w:rPr>
                <w:sz w:val="10"/>
                <w:szCs w:val="10"/>
                <w:color w:val="auto"/>
              </w:rPr>
            </w:pPr>
          </w:p>
        </w:tc>
        <w:tc>
          <w:tcPr>
            <w:tcW w:w="5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00" w:type="dxa"/>
            <w:vAlign w:val="bottom"/>
            <w:gridSpan w:val="9"/>
          </w:tcPr>
          <w:p>
            <w:pPr>
              <w:jc w:val="center"/>
              <w:ind w:right="180"/>
              <w:spacing w:after="0"/>
              <w:rPr>
                <w:sz w:val="20"/>
                <w:szCs w:val="20"/>
                <w:color w:val="auto"/>
              </w:rPr>
            </w:pPr>
            <w:r>
              <w:rPr>
                <w:rFonts w:ascii="Times New Roman" w:cs="Times New Roman" w:eastAsia="Times New Roman" w:hAnsi="Times New Roman"/>
                <w:sz w:val="27"/>
                <w:szCs w:val="27"/>
                <w:b w:val="1"/>
                <w:bCs w:val="1"/>
                <w:color w:val="auto"/>
                <w:w w:val="99"/>
              </w:rPr>
              <w:t>OSI SYSTEMS, INC.</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300" w:type="dxa"/>
            <w:vAlign w:val="bottom"/>
            <w:gridSpan w:val="9"/>
          </w:tcPr>
          <w:p>
            <w:pPr>
              <w:jc w:val="center"/>
              <w:ind w:right="180"/>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380" w:type="dxa"/>
            <w:vAlign w:val="bottom"/>
          </w:tcPr>
          <w:p>
            <w:pPr>
              <w:jc w:val="center"/>
              <w:ind w:left="137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20" w:type="dxa"/>
            <w:vAlign w:val="bottom"/>
          </w:tcPr>
          <w:p>
            <w:pPr>
              <w:jc w:val="center"/>
              <w:ind w:right="1572"/>
              <w:spacing w:after="0"/>
              <w:rPr>
                <w:sz w:val="20"/>
                <w:szCs w:val="20"/>
                <w:color w:val="auto"/>
              </w:rPr>
            </w:pPr>
            <w:r>
              <w:rPr>
                <w:rFonts w:ascii="Times New Roman" w:cs="Times New Roman" w:eastAsia="Times New Roman" w:hAnsi="Times New Roman"/>
                <w:sz w:val="14"/>
                <w:szCs w:val="14"/>
                <w:b w:val="1"/>
                <w:bCs w:val="1"/>
                <w:color w:val="auto"/>
              </w:rPr>
              <w:t>33-0238801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jc w:val="center"/>
              <w:ind w:left="1371"/>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jc w:val="center"/>
              <w:ind w:right="1572"/>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20" w:type="dxa"/>
            <w:vAlign w:val="bottom"/>
          </w:tcPr>
          <w:p>
            <w:pPr>
              <w:jc w:val="center"/>
              <w:ind w:right="1572"/>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12525 Chadron Avenue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gridSpan w:val="5"/>
          </w:tcPr>
          <w:p>
            <w:pPr>
              <w:jc w:val="center"/>
              <w:ind w:right="780"/>
              <w:spacing w:after="0" w:line="151" w:lineRule="exact"/>
              <w:rPr>
                <w:sz w:val="20"/>
                <w:szCs w:val="20"/>
                <w:color w:val="auto"/>
              </w:rPr>
            </w:pPr>
            <w:r>
              <w:rPr>
                <w:rFonts w:ascii="Times New Roman" w:cs="Times New Roman" w:eastAsia="Times New Roman" w:hAnsi="Times New Roman"/>
                <w:sz w:val="14"/>
                <w:szCs w:val="14"/>
                <w:b w:val="1"/>
                <w:bCs w:val="1"/>
                <w:color w:val="auto"/>
              </w:rPr>
              <w:t>Hawthorne, California 90250</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30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(310) 978-0516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30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900" w:type="dxa"/>
            <w:vAlign w:val="bottom"/>
            <w:gridSpan w:val="11"/>
          </w:tcPr>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25"/>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400" w:type="dxa"/>
            <w:vAlign w:val="bottom"/>
            <w:gridSpan w:val="2"/>
            <w:vMerge w:val="continue"/>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tcPr>
          <w:p>
            <w:pPr>
              <w:jc w:val="center"/>
              <w:ind w:left="291"/>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c>
          <w:tcPr>
            <w:tcW w:w="172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w w:val="95"/>
              </w:rPr>
              <w:t>Trading Symbol(s)</w:t>
            </w:r>
          </w:p>
        </w:tc>
        <w:tc>
          <w:tcPr>
            <w:tcW w:w="14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220" w:type="dxa"/>
            <w:vAlign w:val="bottom"/>
          </w:tcPr>
          <w:p>
            <w:pPr>
              <w:jc w:val="center"/>
              <w:ind w:right="512"/>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Borders>
              <w:top w:val="single" w:sz="8" w:color="auto"/>
            </w:tcBorders>
          </w:tcPr>
          <w:p>
            <w:pPr>
              <w:jc w:val="center"/>
              <w:ind w:left="291"/>
              <w:spacing w:after="0"/>
              <w:rPr>
                <w:sz w:val="20"/>
                <w:szCs w:val="20"/>
                <w:color w:val="auto"/>
              </w:rPr>
            </w:pPr>
            <w:r>
              <w:rPr>
                <w:rFonts w:ascii="Times New Roman" w:cs="Times New Roman" w:eastAsia="Times New Roman" w:hAnsi="Times New Roman"/>
                <w:sz w:val="13"/>
                <w:szCs w:val="13"/>
                <w:b w:val="1"/>
                <w:bCs w:val="1"/>
                <w:color w:val="auto"/>
                <w:w w:val="97"/>
              </w:rPr>
              <w:t>Common Stock, $0.001 par value</w:t>
            </w:r>
          </w:p>
        </w:tc>
        <w:tc>
          <w:tcPr>
            <w:tcW w:w="3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top w:val="single" w:sz="8" w:color="auto"/>
            </w:tcBorders>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OSIS</w:t>
            </w:r>
          </w:p>
        </w:tc>
        <w:tc>
          <w:tcPr>
            <w:tcW w:w="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220" w:type="dxa"/>
            <w:vAlign w:val="bottom"/>
            <w:tcBorders>
              <w:top w:val="single" w:sz="8" w:color="auto"/>
            </w:tcBorders>
          </w:tcPr>
          <w:p>
            <w:pPr>
              <w:jc w:val="center"/>
              <w:ind w:right="512"/>
              <w:spacing w:after="0"/>
              <w:rPr>
                <w:sz w:val="20"/>
                <w:szCs w:val="20"/>
                <w:color w:val="auto"/>
              </w:rPr>
            </w:pPr>
            <w:r>
              <w:rPr>
                <w:rFonts w:ascii="Times New Roman" w:cs="Times New Roman" w:eastAsia="Times New Roman" w:hAnsi="Times New Roman"/>
                <w:sz w:val="13"/>
                <w:szCs w:val="13"/>
                <w:b w:val="1"/>
                <w:bCs w:val="1"/>
                <w:color w:val="auto"/>
                <w:w w:val="97"/>
              </w:rPr>
              <w:t>The 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-2359660</wp:posOffset>
            </wp:positionV>
            <wp:extent cx="216027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0270" cy="257175"/>
                    </a:xfrm>
                    <a:prstGeom prst="rect">
                      <a:avLst/>
                    </a:prstGeom>
                    <a:noFill/>
                  </pic:spPr>
                </pic:pic>
              </a:graphicData>
            </a:graphic>
          </wp:anchor>
        </w:drawing>
      </w:r>
    </w:p>
    <w:p>
      <w:pPr>
        <w:spacing w:after="0" w:line="21" w:lineRule="exact"/>
        <w:rPr>
          <w:sz w:val="24"/>
          <w:szCs w:val="24"/>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ind w:right="6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37" w:lineRule="exact"/>
        <w:rPr>
          <w:sz w:val="24"/>
          <w:szCs w:val="24"/>
          <w:color w:val="auto"/>
        </w:rPr>
      </w:pPr>
    </w:p>
    <w:p>
      <w:pPr>
        <w:jc w:val="cente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188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62" w:lineRule="exact"/>
        <w:rPr>
          <w:sz w:val="24"/>
          <w:szCs w:val="24"/>
          <w:color w:val="auto"/>
        </w:rPr>
      </w:pPr>
    </w:p>
    <w:p>
      <w:pPr>
        <w:sectPr>
          <w:pgSz w:w="11900" w:h="16838" w:orient="portrait"/>
          <w:cols w:equalWidth="0" w:num="3">
            <w:col w:w="4200" w:space="720"/>
            <w:col w:w="128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127" w:lineRule="exact"/>
        <w:rPr>
          <w:sz w:val="24"/>
          <w:szCs w:val="24"/>
          <w:color w:val="auto"/>
        </w:rPr>
      </w:pPr>
    </w:p>
    <w:p>
      <w:pPr>
        <w:ind w:right="1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left="340" w:right="22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January 22, 2026, there were 16,472,549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564515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32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16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18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1 —</w:t>
            </w:r>
          </w:p>
        </w:tc>
        <w:tc>
          <w:tcPr>
            <w:tcW w:w="280" w:type="dxa"/>
            <w:vAlign w:val="bottom"/>
            <w:gridSpan w:val="3"/>
          </w:tcPr>
          <w:p>
            <w:pPr>
              <w:spacing w:after="0"/>
              <w:rPr>
                <w:sz w:val="24"/>
                <w:szCs w:val="24"/>
                <w:color w:val="auto"/>
              </w:rPr>
            </w:pPr>
          </w:p>
        </w:tc>
        <w:tc>
          <w:tcPr>
            <w:tcW w:w="24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84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at June 30, 2025 and December 31, 2025</w:t>
            </w:r>
          </w:p>
        </w:tc>
        <w:tc>
          <w:tcPr>
            <w:tcW w:w="23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December 31, 2024 and</w:t>
            </w: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0000EE"/>
            </w:tcBorders>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six months ended December 31,</w:t>
            </w: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9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2024 and 2025</w:t>
            </w:r>
          </w:p>
        </w:tc>
        <w:tc>
          <w:tcPr>
            <w:tcW w:w="1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six months ended December 31,</w:t>
            </w:r>
          </w:p>
        </w:tc>
        <w:tc>
          <w:tcPr>
            <w:tcW w:w="2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2024 and 2025</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December 31, 2024 and 2025</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56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 —</w:t>
            </w:r>
          </w:p>
        </w:tc>
        <w:tc>
          <w:tcPr>
            <w:tcW w:w="260" w:type="dxa"/>
            <w:vAlign w:val="bottom"/>
            <w:gridSpan w:val="2"/>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8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 —</w:t>
            </w:r>
          </w:p>
        </w:tc>
        <w:tc>
          <w:tcPr>
            <w:tcW w:w="260" w:type="dxa"/>
            <w:vAlign w:val="bottom"/>
            <w:gridSpan w:val="2"/>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 —</w:t>
            </w:r>
          </w:p>
        </w:tc>
        <w:tc>
          <w:tcPr>
            <w:tcW w:w="260" w:type="dxa"/>
            <w:vAlign w:val="bottom"/>
            <w:gridSpan w:val="2"/>
          </w:tcPr>
          <w:p>
            <w:pPr>
              <w:spacing w:after="0"/>
              <w:rPr>
                <w:sz w:val="17"/>
                <w:szCs w:val="17"/>
                <w:color w:val="auto"/>
              </w:rPr>
            </w:pPr>
          </w:p>
        </w:tc>
        <w:tc>
          <w:tcPr>
            <w:tcW w:w="43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96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646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8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 —</w:t>
            </w:r>
          </w:p>
        </w:tc>
        <w:tc>
          <w:tcPr>
            <w:tcW w:w="260" w:type="dxa"/>
            <w:vAlign w:val="bottom"/>
            <w:gridSpan w:val="2"/>
          </w:tcPr>
          <w:p>
            <w:pPr>
              <w:spacing w:after="0"/>
              <w:rPr>
                <w:sz w:val="24"/>
                <w:szCs w:val="24"/>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92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6"/>
        </w:trPr>
        <w:tc>
          <w:tcPr>
            <w:tcW w:w="180" w:type="dxa"/>
            <w:vAlign w:val="bottom"/>
          </w:tcPr>
          <w:p>
            <w:pPr>
              <w:spacing w:after="0"/>
              <w:rPr>
                <w:sz w:val="17"/>
                <w:szCs w:val="17"/>
                <w:color w:val="auto"/>
              </w:rPr>
            </w:pPr>
          </w:p>
        </w:tc>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1A —</w:t>
            </w:r>
          </w:p>
        </w:tc>
        <w:tc>
          <w:tcPr>
            <w:tcW w:w="16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 —</w:t>
            </w:r>
          </w:p>
        </w:tc>
        <w:tc>
          <w:tcPr>
            <w:tcW w:w="260" w:type="dxa"/>
            <w:vAlign w:val="bottom"/>
            <w:gridSpan w:val="2"/>
          </w:tcPr>
          <w:p>
            <w:pPr>
              <w:spacing w:after="0"/>
              <w:rPr>
                <w:sz w:val="17"/>
                <w:szCs w:val="17"/>
                <w:color w:val="auto"/>
              </w:rPr>
            </w:pPr>
          </w:p>
        </w:tc>
        <w:tc>
          <w:tcPr>
            <w:tcW w:w="43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92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 —</w:t>
            </w:r>
          </w:p>
        </w:tc>
        <w:tc>
          <w:tcPr>
            <w:tcW w:w="260" w:type="dxa"/>
            <w:vAlign w:val="bottom"/>
            <w:gridSpan w:val="2"/>
          </w:tcPr>
          <w:p>
            <w:pPr>
              <w:spacing w:after="0"/>
              <w:rPr>
                <w:sz w:val="17"/>
                <w:szCs w:val="17"/>
                <w:color w:val="auto"/>
              </w:rPr>
            </w:pPr>
          </w:p>
        </w:tc>
        <w:tc>
          <w:tcPr>
            <w:tcW w:w="23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94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 —</w:t>
            </w:r>
          </w:p>
        </w:tc>
        <w:tc>
          <w:tcPr>
            <w:tcW w:w="26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650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8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w:t>
            </w:r>
          </w:p>
        </w:tc>
        <w:tc>
          <w:tcPr>
            <w:tcW w:w="28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66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1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898"/>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gridSpan w:val="13"/>
          </w:tcPr>
          <w:p>
            <w:pPr>
              <w:ind w:left="37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60"/>
        </w:trPr>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1000" w:right="2180"/>
        <w:spacing w:after="0" w:line="268" w:lineRule="auto"/>
        <w:rPr>
          <w:sz w:val="20"/>
          <w:szCs w:val="20"/>
          <w:color w:val="auto"/>
        </w:rPr>
      </w:pPr>
      <w:r>
        <w:rPr>
          <w:rFonts w:ascii="Times New Roman" w:cs="Times New Roman" w:eastAsia="Times New Roman" w:hAnsi="Times New Roman"/>
          <w:sz w:val="18"/>
          <w:szCs w:val="18"/>
          <w:b w:val="1"/>
          <w:bCs w:val="1"/>
          <w:color w:val="auto"/>
        </w:rPr>
        <w:t>OSI SYSTEMS, INC. AND SUBSIDIARIES CONDENSED CONSOLIDATED BALANCE SHEETS (UNAUDITED) (amounts in thousands, except share amounts and par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ind w:left="7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gridSpan w:val="3"/>
            <w:vMerge w:val="restart"/>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10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340" w:type="dxa"/>
            <w:vAlign w:val="bottom"/>
            <w:tcBorders>
              <w:top w:val="single" w:sz="8" w:color="CCEEFF"/>
            </w:tcBorders>
            <w:shd w:val="clear" w:color="auto" w:fill="CCEEFF"/>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106,405</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336,722</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833,152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452,613</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71,539</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64,358</w:t>
            </w: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1,422,861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1,686,845</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385,747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137,753</w:t>
            </w:r>
          </w:p>
        </w:tc>
        <w:tc>
          <w:tcPr>
            <w:tcW w:w="0" w:type="dxa"/>
            <w:vAlign w:val="bottom"/>
          </w:tcPr>
          <w:p>
            <w:pPr>
              <w:spacing w:after="0"/>
              <w:rPr>
                <w:sz w:val="1"/>
                <w:szCs w:val="1"/>
                <w:color w:val="auto"/>
              </w:rPr>
            </w:pPr>
          </w:p>
        </w:tc>
      </w:tr>
      <w:tr>
        <w:trPr>
          <w:trHeight w:val="249"/>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2,241,257</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2,522,241</w:t>
            </w: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16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lines of credit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212,715</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from customers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63,518</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93,207</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116,850</w:t>
            </w:r>
          </w:p>
        </w:tc>
        <w:tc>
          <w:tcPr>
            <w:tcW w:w="0" w:type="dxa"/>
            <w:vAlign w:val="bottom"/>
          </w:tcPr>
          <w:p>
            <w:pPr>
              <w:spacing w:after="0"/>
              <w:rPr>
                <w:sz w:val="1"/>
                <w:szCs w:val="1"/>
                <w:color w:val="auto"/>
              </w:rPr>
            </w:pPr>
          </w:p>
        </w:tc>
      </w:tr>
      <w:tr>
        <w:trPr>
          <w:trHeight w:val="210"/>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535,362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998,902</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141,155</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1,290,173</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1,676,751</w:t>
            </w: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$0.001 par value—10,000,000 shares authorized; no shares issued or outstanding</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value—100,000,000 shares authorized; issued and outstanding,</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16,794,399 shares at June 30, 2025 and 16,451,106 shares at December 31, 2025</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942,254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861,971</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951,084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845,490</w:t>
            </w:r>
          </w:p>
        </w:tc>
        <w:tc>
          <w:tcPr>
            <w:tcW w:w="0" w:type="dxa"/>
            <w:vAlign w:val="bottom"/>
          </w:tcPr>
          <w:p>
            <w:pPr>
              <w:spacing w:after="0"/>
              <w:rPr>
                <w:sz w:val="1"/>
                <w:szCs w:val="1"/>
                <w:color w:val="auto"/>
              </w:rPr>
            </w:pPr>
          </w:p>
        </w:tc>
      </w:tr>
      <w:tr>
        <w:trPr>
          <w:trHeight w:val="210"/>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2,241,257</w:t>
            </w: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2,522,241</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OSI SYSTEMS, INC. AND SUBSIDIARIES CONDENSED CONSOLIDATED STATEMENTS OF OPERATIONS (UNAUDITED) (amounts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vMerge w:val="restart"/>
          </w:tcPr>
          <w:p>
            <w:pPr>
              <w:ind w:left="516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gridSpan w:val="6"/>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333,671</w:t>
            </w:r>
          </w:p>
        </w:tc>
        <w:tc>
          <w:tcPr>
            <w:tcW w:w="4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350,762</w:t>
            </w:r>
          </w:p>
        </w:tc>
        <w:tc>
          <w:tcPr>
            <w:tcW w:w="40" w:type="dxa"/>
            <w:vAlign w:val="bottom"/>
          </w:tcPr>
          <w:p>
            <w:pPr>
              <w:spacing w:after="0"/>
              <w:rPr>
                <w:sz w:val="18"/>
                <w:szCs w:val="18"/>
                <w:color w:val="auto"/>
              </w:rPr>
            </w:pP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589,479</w:t>
            </w:r>
          </w:p>
        </w:tc>
        <w:tc>
          <w:tcPr>
            <w:tcW w:w="6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626,572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222,108</w:t>
            </w:r>
          </w:p>
        </w:tc>
        <w:tc>
          <w:tcPr>
            <w:tcW w:w="0" w:type="dxa"/>
            <w:vAlign w:val="bottom"/>
          </w:tcPr>
          <w:p>
            <w:pPr>
              <w:spacing w:after="0"/>
              <w:rPr>
                <w:sz w:val="1"/>
                <w:szCs w:val="1"/>
                <w:color w:val="auto"/>
              </w:rPr>
            </w:pPr>
          </w:p>
        </w:tc>
      </w:tr>
      <w:tr>
        <w:trPr>
          <w:trHeight w:val="20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848,680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451,067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122,799</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272,669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312,428</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495,174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573,866</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274,814</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137,156</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182,946</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3.27</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per share calculation: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17,040</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17,469</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17,048</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17,472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14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5"/>
                <w:szCs w:val="15"/>
                <w:color w:val="auto"/>
              </w:rPr>
            </w:pP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0"/>
        </w:trPr>
        <w:tc>
          <w:tcPr>
            <w:tcW w:w="4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42"/>
        </w:trPr>
        <w:tc>
          <w:tcPr>
            <w:tcW w:w="4580" w:type="dxa"/>
            <w:vAlign w:val="bottom"/>
          </w:tcPr>
          <w:p>
            <w:pPr>
              <w:spacing w:after="0"/>
              <w:rPr>
                <w:sz w:val="12"/>
                <w:szCs w:val="12"/>
                <w:color w:val="auto"/>
              </w:rPr>
            </w:pPr>
          </w:p>
        </w:tc>
        <w:tc>
          <w:tcPr>
            <w:tcW w:w="1080" w:type="dxa"/>
            <w:vAlign w:val="bottom"/>
            <w:gridSpan w:val="2"/>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8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2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derivatives, net of tax</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 of tax</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1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30,419</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46,316</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0"/>
        </w:trPr>
        <w:tc>
          <w:tcPr>
            <w:tcW w:w="4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0"/>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2120" w:type="dxa"/>
            <w:vAlign w:val="bottom"/>
            <w:gridSpan w:val="5"/>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2120" w:type="dxa"/>
            <w:vAlign w:val="bottom"/>
            <w:tcBorders>
              <w:bottom w:val="single" w:sz="8" w:color="auto"/>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ind w:left="42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0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18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Comprehensive</w:t>
            </w:r>
          </w:p>
        </w:tc>
        <w:tc>
          <w:tcPr>
            <w:tcW w:w="30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0" w:type="dxa"/>
            <w:vAlign w:val="bottom"/>
          </w:tcPr>
          <w:p>
            <w:pPr>
              <w:ind w:left="4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continue"/>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16,710,749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810,553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786,495</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16,745,805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825,830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2120" w:type="dxa"/>
            <w:vAlign w:val="bottom"/>
            <w:gridSpan w:val="5"/>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2120" w:type="dxa"/>
            <w:vAlign w:val="bottom"/>
            <w:tcBorders>
              <w:bottom w:val="single" w:sz="8" w:color="auto"/>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ind w:left="42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0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18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Comprehensive</w:t>
            </w:r>
          </w:p>
        </w:tc>
        <w:tc>
          <w:tcPr>
            <w:tcW w:w="30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0" w:type="dxa"/>
            <w:vAlign w:val="bottom"/>
          </w:tcPr>
          <w:p>
            <w:pPr>
              <w:ind w:left="4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continue"/>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2025</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16,977,595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962,810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945,958</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(546,945)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(139,538)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(147,030)</w:t>
            </w:r>
          </w:p>
        </w:tc>
        <w:tc>
          <w:tcPr>
            <w:tcW w:w="0" w:type="dxa"/>
            <w:vAlign w:val="bottom"/>
          </w:tcPr>
          <w:p>
            <w:pPr>
              <w:spacing w:after="0"/>
              <w:rPr>
                <w:sz w:val="1"/>
                <w:szCs w:val="1"/>
                <w:color w:val="auto"/>
              </w:rPr>
            </w:pPr>
          </w:p>
        </w:tc>
      </w:tr>
      <w:tr>
        <w:trPr>
          <w:trHeight w:val="198"/>
        </w:trPr>
        <w:tc>
          <w:tcPr>
            <w:tcW w:w="44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38,699</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16,451,756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861,971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December 31, 2024</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2120" w:type="dxa"/>
            <w:vAlign w:val="bottom"/>
            <w:gridSpan w:val="5"/>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2120" w:type="dxa"/>
            <w:vAlign w:val="bottom"/>
            <w:tcBorders>
              <w:bottom w:val="single" w:sz="8" w:color="auto"/>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ind w:left="42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0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gridSpan w:val="2"/>
          </w:tcPr>
          <w:p>
            <w:pPr>
              <w:jc w:val="right"/>
              <w:ind w:right="50"/>
              <w:spacing w:after="0" w:line="118"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18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Comprehensive</w:t>
            </w:r>
          </w:p>
        </w:tc>
        <w:tc>
          <w:tcPr>
            <w:tcW w:w="30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0" w:type="dxa"/>
            <w:vAlign w:val="bottom"/>
          </w:tcPr>
          <w:p>
            <w:pPr>
              <w:ind w:left="4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continue"/>
          </w:tcPr>
          <w:p>
            <w:pPr>
              <w:spacing w:after="0"/>
              <w:rPr>
                <w:sz w:val="15"/>
                <w:szCs w:val="15"/>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17,055,497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861,230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863,483</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(531,314)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(80,443)</w:t>
            </w: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(151,137)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(17,089)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16,745,805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825,830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December 31, 2025</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2120" w:type="dxa"/>
            <w:vAlign w:val="bottom"/>
            <w:gridSpan w:val="5"/>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2120" w:type="dxa"/>
            <w:vAlign w:val="bottom"/>
            <w:tcBorders>
              <w:bottom w:val="single" w:sz="8" w:color="auto"/>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ind w:left="42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0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gridSpan w:val="2"/>
          </w:tcPr>
          <w:p>
            <w:pPr>
              <w:jc w:val="right"/>
              <w:ind w:right="50"/>
              <w:spacing w:after="0" w:line="118"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18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Comprehensive</w:t>
            </w:r>
          </w:p>
        </w:tc>
        <w:tc>
          <w:tcPr>
            <w:tcW w:w="30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0" w:type="dxa"/>
            <w:vAlign w:val="bottom"/>
          </w:tcPr>
          <w:p>
            <w:pPr>
              <w:ind w:left="4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continue"/>
          </w:tcPr>
          <w:p>
            <w:pPr>
              <w:spacing w:after="0"/>
              <w:rPr>
                <w:sz w:val="15"/>
                <w:szCs w:val="15"/>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2025</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16,794,399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942,254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951,084</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(546,945)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(147,030)</w:t>
            </w: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(159,699)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(36,253)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16,451,756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845,490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1620"/>
        <w:spacing w:after="0" w:line="278" w:lineRule="auto"/>
        <w:rPr>
          <w:sz w:val="20"/>
          <w:szCs w:val="20"/>
          <w:color w:val="auto"/>
        </w:rPr>
      </w:pPr>
      <w:r>
        <w:rPr>
          <w:rFonts w:ascii="Times New Roman" w:cs="Times New Roman" w:eastAsia="Times New Roman" w:hAnsi="Times New Roman"/>
          <w:sz w:val="18"/>
          <w:szCs w:val="18"/>
          <w:b w:val="1"/>
          <w:bCs w:val="1"/>
          <w:color w:val="auto"/>
        </w:rPr>
        <w:t>OSI SYSTEMS, INC. AND SUBSIDIARIES CONDENSED CONSOLIDATED STATEMENTS OF CASH FLOWS (UNAUDITED) (amounts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vMerge w:val="restart"/>
          </w:tcPr>
          <w:p>
            <w:pPr>
              <w:ind w:left="7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7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4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55,755</w:t>
            </w:r>
          </w:p>
        </w:tc>
        <w:tc>
          <w:tcPr>
            <w:tcW w:w="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net of effects from</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(recovery of) losses on accounts receivable</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liabilities—net of business acquisitions: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from customers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36,220</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79,337</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certificates of deposit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for intangible and other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(97,559)</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repayments on bank lines of credit</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340,543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662,957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(147,030)</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172,632</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230,317</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106,405</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101,633</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336,722</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net during the period for: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OSI Systems, Inc. and our subsidiaries. All significant intercompany accounts and transactions have been eliminated in consolidation. The condensed consolidated financial statements have been prepared by management in accordance with accounting principles generally accepted in the United States of America (“GAAP”) and in conjunction with the rules and regulations of the Securities and Exchange Commission (“SEC”). Certain information and footnote disclosures required for annual financial statements have been condensed or excluded in accordance with SEC rules and regulations and GAAP applicable to interim unaudited financial statements. Accordingly, the condensed consolidated financial statements do not include all of the information and footnotes required by GAAP for audited annual financial statements. In the opinion of management, the condensed consolidated financial statements reflect all adjustments of a normal and recurring nature that are considered necessary for a fair presentation of the results for the interim periods presented. These unaudited condensed consolidated financial statements and the accompanying notes should be read in conjunction with the audited consolidated financial statements and accompanying notes included in our Annual Report on Form 10-K for the fiscal year ended June 30, 2025 filed with the SEC. The results of operations for the three and six months ended December 31, 2025 are not necessarily indicative of the operating results to be expected for the full 2026 fiscal year or any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sales, costs of sales and expenses during the reporting period. The most significant of these estimates and assumptions for our company relate to contract revenue, fair values of assets acquired and liabilities assumed in business combinations, values for inventories reported at lower of cost or net realizable value, stock-based compensation expense, income taxes, accrued warranty costs, contingent consideration, allowance for doubtful accounts, and the recoverability, useful lives and valuation of recorded amounts of long-lived assets, identifiable intangible assets and goodwill. Changes in estimates are reflected in the periods during which they become known. Due to the inherent uncertainty involved in making estimates, our actual amounts reported in future periods could differ materially from estimated amounts.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 Computations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available to common stockholders by the weighted average number of common shares outstanding during the period. We compute diluted earnings per share by dividing net income available to common stockholders by the sum of the weighted average number of common shares and dilutive potential common shares outstanding during the period. Potential common shares consist of the shares issuable upon the exercise of stock options and restricted stock unit awards under the treasury stock method. The underlying equity component of the 2.25% convertible senior notes due 2029 (the “2029 Notes”) and the 0.50% convertible senior notes due 2031 (the “2031 Notes”) discussed in Note 8 to the condensed consolidated financial statements will have a net impact on diluted earnings per share when the average price of our common stock exceeds the conversion price of $191.98 for the 2029 Notes and $353.82 for the 2031 Notes because the principal amounts of the respective convertible senior notes will be settled in cash upon conversion. There was a dilutive effect of the 2029 Notes as set forth in the table below for the three and six months ended December 31, 2025. There was no dilutive impact of the 2031 Notes.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5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73"/>
        </w:trPr>
        <w:tc>
          <w:tcPr>
            <w:tcW w:w="53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16,724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16,740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16,818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of 2029 Notes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Shares excluded from diluted earnings per share due to their anti-dilutive</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maturities of three months or less as of the acquisition date to be cash equivalents.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and cash equivalents totaled $336.7 million at December 31, 2025. Of this amount, approximately 32% was held by our foreign subsidiaries and subject to repatriation tax considerations. These foreign funds were held primarily by our subsidiaries in the United Kingdom, India, Singapore, Canada, and Mexico and to a lesser extent Malaysia, Albania, and Germany, among other countries. We have cash holdings in financial institutions that exceed insured limits for such financial institutions; however, we mitigate this risk by utilizing international financial institutions which we believe to be of high credit quality.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instruments consist primarily of cash and cash equivalents, insurance company contracts, accounts receivable, accounts payable, debt instruments, an interest rate swap contract and foreign currency forward contracts. The carrying values of financial instruments, other than long-term debt instruments and our interest rate swap contract, are representative of their fair values due to their short-term maturities. The carrying values of our long-term debt instruments are considered to approximate their fair values because the interest rates of these instruments are variable or comparable to current rates for financing available to us. The fair values of our foreign currency forward contracts were not significant as of June 30, 2025 or as of December 31,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in the sale of an asset or paid to transfer a liability in an orderly transaction between market participants at the measurement date. The “Level 1” category includes assets and liabilities at quoted prices in active markets for identical assets and liabilities. The “Level 2” category includes assets and liabilities from observable inputs other than quoted market prices. The “Level 3” category includes assets and liabilities for which valuation techniques are unobservable and significant to the fair value measurement. Our contingent payment obligations related to acquisitions, which are further discussed in Note 10 to the condensed consolidated financial statements, are in the “Level 3” category for valuation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financial assets and liabilities are categorized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tcPr>
          <w:p>
            <w:pPr>
              <w:spacing w:after="0"/>
              <w:rPr>
                <w:sz w:val="12"/>
                <w:szCs w:val="12"/>
                <w:color w:val="auto"/>
              </w:rPr>
            </w:pPr>
          </w:p>
        </w:tc>
        <w:tc>
          <w:tcPr>
            <w:tcW w:w="8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Assets—Insurance company</w:t>
            </w: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80" w:type="dxa"/>
            <w:vAlign w:val="bottom"/>
            <w:vMerge w:val="continue"/>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36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60,517</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60,517</w:t>
            </w: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contracts</w:t>
            </w:r>
          </w:p>
        </w:tc>
        <w:tc>
          <w:tcPr>
            <w:tcW w:w="42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Assets – Interest rate swap contract</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932</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932</w:t>
            </w: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Liabilities—Convertible notes</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472,770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472,770</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1,104,564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1,104,564</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Liabilities—Contingent</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80" w:type="dxa"/>
            <w:vAlign w:val="bottom"/>
            <w:vMerge w:val="continue"/>
          </w:tcPr>
          <w:p>
            <w:pPr>
              <w:spacing w:after="0"/>
              <w:rPr>
                <w:sz w:val="13"/>
                <w:szCs w:val="13"/>
                <w:color w:val="auto"/>
              </w:rPr>
            </w:pPr>
          </w:p>
        </w:tc>
        <w:tc>
          <w:tcPr>
            <w:tcW w:w="42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3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0" w:type="dxa"/>
            <w:vAlign w:val="bottom"/>
          </w:tcPr>
          <w:p>
            <w:pPr>
              <w:spacing w:after="0"/>
              <w:rPr>
                <w:sz w:val="1"/>
                <w:szCs w:val="1"/>
                <w:color w:val="auto"/>
              </w:rPr>
            </w:pPr>
          </w:p>
        </w:tc>
      </w:tr>
      <w:tr>
        <w:trPr>
          <w:trHeight w:val="221"/>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consideration</w:t>
            </w:r>
          </w:p>
        </w:tc>
        <w:tc>
          <w:tcPr>
            <w:tcW w:w="42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use of derivatives consists of foreign currency forward contracts and an interest rate swap agreement. Our foreign currency forward contracts are utilized to partially mitigate certain balance sheet exposures or used as a net investment hedge to protect against potential changes resulting from short-term foreign currency fluctuations. These foreign currency forward contracts have original maturities of up to three months. We also manage our risk to changes in interest rates using derivative instruments. We use fixed interest rate swaps to effectively convert a portion of the variable interest rate payments to fixed interest rate payments. We do not use hedging instruments for speculative purposes.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gains or losses from our foreign currency forward contracts, which are not designated as hedge instruments, are reported in the consolidated statements of operations, and the amounts reported for the three and six months ended December 31, 2024 and 2025 were not significant. The fair value of our foreign currency forward contracts is estimated using a standard valuation model and market-based observable inputs over the contractual term. Unrealized gains are recognized as assets and unrealized losses are recognized as liabilities. As of June 30, 2025 and December 31, 2025, we held foreign currency forward contracts with notional amounts totaling $99.9 million and $160.1 million, respectively. Unrealized gains and losses from our foreign currency forward contracts as of June 30, 2025 and December 31, 2025 were not significant.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interest rate swap agreement was entered into to improve the predictability of cash flows from interest payments related to our variable, Secured Overnight Financing Rate (“SOFR”)-based debt. The interest rate swap matures in December 2026. The interest rate swap is considered an effective cash flow hedge, and as a result, the net gains or losses on such instrument are reported as a component of other comprehensive income (loss) in our consolidated financial statements and are reclassified as net income when the underlying hedged interest impacts earnings. A qualitative and quantitative assessment of the interest rate swap hedge effectiveness is performed on a quarterly basis, unless facts and circumstances indicate that the hedge may no longer be highly effective.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2025, the notional amount of the derivative instruments designated as an interest rate swap hedge was $175 million. The fair value of the interest rate swap agreement as of June 30, 2025 and December 31, 2025 is recorded in Other assets within the consolidated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cash flow hedges on other comprehensive income (loss) and earnings for the periods presented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42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3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interest and other expense, net presented in the condensed</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statements of operations in which the effects of cash flow</w:t>
            </w:r>
          </w:p>
        </w:tc>
        <w:tc>
          <w:tcPr>
            <w:tcW w:w="36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w:t>
            </w:r>
          </w:p>
        </w:tc>
        <w:tc>
          <w:tcPr>
            <w:tcW w:w="40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(10,713)</w:t>
            </w:r>
          </w:p>
        </w:tc>
        <w:tc>
          <w:tcPr>
            <w:tcW w:w="32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(15,978)</w:t>
            </w:r>
          </w:p>
        </w:tc>
        <w:tc>
          <w:tcPr>
            <w:tcW w:w="36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hedges are recorded</w:t>
            </w:r>
          </w:p>
        </w:tc>
        <w:tc>
          <w:tcPr>
            <w:tcW w:w="36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Gain (loss) recognized in other comprehensive income (loss), net of tax</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1,683</w:t>
            </w: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(1,537)</w:t>
            </w:r>
          </w:p>
        </w:tc>
        <w:tc>
          <w:tcPr>
            <w:tcW w:w="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Benefit reclassified from accumulated other comprehensive income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to interest expense, net</w:t>
            </w: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other regulatory bodies that are adopted as of the specified effective dates. Unless otherwise discussed, management believes that the impact of recently issued standards, which are not yet effective, will not have a material impact on our Consolidated Financial Statements upon adoption. There were no new pronouncements adopted in the second quarter of fiscal year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“Improvements to Income Tax Disclosures” (“ASU 2023-09”), which provides for additional disclosures primarily related to the income tax rate reconciliations and income taxes paid. ASU 2023-09 requires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ASU 2023-09 also requires entities to disclose net income taxes paid to or received from federal, state and foreign jurisdictions, as well as by individual jurisdiction, subject to a five percent quantitative threshold. ASU 2023-09 may be adopted on a prospective or retrospective basis and is effective for fiscal years beginning after December 15, 2024 with early adoption permitted. We are evaluating the potential impact of ASU 2023-09 on disclosures in our Consolidated Financial Statements which is effective beginning with our Form 10-K for fiscal year 2026.</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Form 10-K for fiscal year 2028 and interim periods thereafter, with early adoption permitted. We are currently evaluating the impact of this standard on our disclosures.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Targeted Improvements to the Accounting for Internal-Use Software” (“ASU 2025-06”) which modernizes the accounting for internal-use software to current development practices, clarifies when to begin capitalizing costs and enhances disclosure requirements. This update is effective for interim and annual periods beginning after December 15, 2027, with early adoption permitted. We are currently evaluating the impact of this standard on our accounting for internal-use software and related disclosure requirements.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Combinations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Under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acquisition method of accounting requires us to record assets acquired less liabilities assumed from an acquisition at their estimated fair values at the date of acquisition. Any excess of the total estimated purchase price over the estimated fair value of the net assets acquired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on assumptions which are believed to be reasonable, but which are inherently uncertain and unpredictable and, as a result, actual results may differ from estimates. During the measurement period for fair value, which is up to one year from the acquisition date, as additional information that existed at the acquisition date becomes available, we may record adjustments to the preliminary assets acquired and liabilities assumed. Upon the conclusion of the measurement period, any subsequent adjustments are included in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2025 Business Acquisitions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2024, we (through our Security division) acquired 100% of the shares of common stock of a privately held provider of critical military, space and surveillance solutions to expand our customer base and offer additional products and services for existing customers, for approximately $76.0 million, plus up to $24.0 million in potential contingent consideration. We paid $75.5 million in cash at the closing of the transaction and recorded a holdback liability of $0.5 million which is scheduled to be paid in 2030. The cash paid for this acquisition was financed with borrowings from our credit facility. The acquisition date fair value of the contingent consideration was $9.7 million, which, when combined with the amount of cash paid at close and the holdback amount, resulted in total purchase consideration of $85.7 million being allocated to the preliminary fair value of assets acquired and liabilities assumed. The acquisition date fair value of total assets acquired, including measurement period adjustments, was $113.9 million which comprised accounts receivable of $26.1 million, inventory and other current assets of $2.7 million, property and equipment of $7.0 million, goodwill of $30.7 million, other intangible assets of $47.3 million and other noncurrent assets of $0.1 million. Goodwill includes the value of the assembled workforce, new customers and other future economic benefits which do not qualify for separate recognition. The goodwill recognized for this business acquisition is not deductible for income tax purposes. Other intangible assets include amortizable intangible assets of $36.7 million with amortization periods of 7 to 10 years and an indefinite-lived intangible asset of $8.1 million. The acquisition date fair value of total liabilities assumed, including measurement period adjustments, was $28.2 million, which includes a deferred tax liability of $7.3 million that was recognized primarily due to the acquisition of other intangible assets. During the three months ended September 30, 2025, we recorded measurement period adjustments which decreased goodwill by $1.4 million due to a decrease in deferred income taxes of $1.8 million and an increase in intangible assets of $0.1 million, which were partially offset by a decrease in accounts receivable of $0.5 million. The measurement period adjustments did not have a significant impact on the consolidated statement of operations. The measurement period ended in September 2025, accordingly no further purchase price adjustments have been recorded during the three months ended December 31,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2025, we (through our Security Division) acquired a privately held provider of engineering and structural component services for approximately $1.3 million, plus up to $0.9 million in potential contingent consideration. The acquisition was financed with cash on hand. The goodwill recognized for this business acquisition is not deductible for income tax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details of selected balance sheet accounts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4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855,494</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851,949</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837,743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833,152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4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245,993</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267,849</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101,134</w:t>
            </w:r>
          </w:p>
        </w:tc>
        <w:tc>
          <w:tcPr>
            <w:tcW w:w="0" w:type="dxa"/>
            <w:vAlign w:val="bottom"/>
          </w:tcPr>
          <w:p>
            <w:pPr>
              <w:spacing w:after="0"/>
              <w:rPr>
                <w:sz w:val="1"/>
                <w:szCs w:val="1"/>
                <w:color w:val="auto"/>
              </w:rPr>
            </w:pPr>
          </w:p>
        </w:tc>
      </w:tr>
      <w:tr>
        <w:trPr>
          <w:trHeight w:val="209"/>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452,613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4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Buildings, civil works and improvements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Equipment, tooling, furniture and fixtures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157,587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implementation in process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311,581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(188,533)</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$5.0 million and $5.2 million for the three months ended December 31, 2024 and 2025, respectively, and $11.7 million and $10.6 million for the six months ended December 31,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the carrying value of goodwill by segment for the six-month period ended December 31, 2025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Optoelectronics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64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continue"/>
          </w:tcPr>
          <w:p>
            <w:pPr>
              <w:spacing w:after="0"/>
              <w:rPr>
                <w:sz w:val="12"/>
                <w:szCs w:val="12"/>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20" w:type="dxa"/>
            <w:vAlign w:val="bottom"/>
            <w:gridSpan w:val="2"/>
            <w:vMerge w:val="continue"/>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266,365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387,393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Goodwill adjustments during the period (see Note 2)</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385,747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20" w:type="dxa"/>
            <w:vAlign w:val="bottom"/>
            <w:vMerge w:val="restart"/>
          </w:tcPr>
          <w:p>
            <w:pPr>
              <w:jc w:val="right"/>
              <w:ind w:right="719"/>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7"/>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20" w:type="dxa"/>
            <w:vAlign w:val="bottom"/>
            <w:gridSpan w:val="4"/>
          </w:tcPr>
          <w:p>
            <w:pPr>
              <w:ind w:left="8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Amortization</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Amortization</w:t>
            </w:r>
          </w:p>
        </w:tc>
        <w:tc>
          <w:tcPr>
            <w:tcW w:w="240" w:type="dxa"/>
            <w:vAlign w:val="bottom"/>
            <w:gridSpan w:val="2"/>
          </w:tcPr>
          <w:p>
            <w:pPr>
              <w:jc w:val="right"/>
              <w:ind w:right="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assets:</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91,386</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99,947</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38,704</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210"/>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amortizable assets</w:t>
            </w:r>
          </w:p>
        </w:tc>
        <w:tc>
          <w:tcPr>
            <w:tcW w:w="1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143,392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228,081</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143,392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Non-amortizable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40,002</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183,290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268,083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183,394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related to intangible assets was $5.6 million and $4.4 million for the three months ended December 31, 2024 and 2025, respectively. Amortization expense related to intangible assets was $10.4 million and $9.2 million for the six month ended December 31, 2024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estimated future amortization expense for amortizable intangible assets was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vMerge w:val="restart"/>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3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6 months)</w:t>
            </w:r>
          </w:p>
        </w:tc>
        <w:tc>
          <w:tcPr>
            <w:tcW w:w="3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Software development costs for software products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 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 Amortizable assets that have not yet begun to be amortized are included in Thereafter in the table above. For the three months ended December 31, 2024 and 2025, we capitalized software development costs of $4.6 million in each of the respective periods. For the six months ended December 31, 2024 and 2025, we capitalized software development costs in the amounts of $8.8 million and $8.9 million,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Contract Assets and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enter into contracts to sell products and provide services, and we recognize contract assets and liabilities that arise from these transactions. We recognize revenue and corresponding accounts receivable according to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When we recognize revenue in advance of the point in time at which contracts give us the right to invoice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we record this as unbilled revenue, which is included in accounts receivable, net, on the consolidated balance sheets. We may also receive consideration, per the terms of a contract, from customers prior to transferring control of goods to the customer. We record customer deposits as contract liabilities. Additionally, we may receive payments, most typically under service and warranty contracts, at the onset of the contract and before services have been performed. In such instances, we record a deferred revenue liability in either Other accrued expenses and current liabilities or Other long-term liabilities. We recognize these contract liabilities as sales after all revenue recognition criteria are met.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balance of contract assets and liabilities as of June 30, 2025 and December 31, 2025, including the change between such dates. There were no substantial non-current contract assets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Assets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88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88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continue"/>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 (included in accounts receivable, net)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39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 Liabilities (in thousands)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660" w:type="dxa"/>
            <w:vAlign w:val="bottom"/>
            <w:tcBorders>
              <w:top w:val="single" w:sz="8" w:color="auto"/>
            </w:tcBorders>
          </w:tcPr>
          <w:p>
            <w:pPr>
              <w:spacing w:after="0"/>
              <w:rPr>
                <w:sz w:val="24"/>
                <w:szCs w:val="24"/>
                <w:color w:val="auto"/>
              </w:rPr>
            </w:pPr>
          </w:p>
        </w:tc>
        <w:tc>
          <w:tcPr>
            <w:tcW w:w="188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88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continue"/>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revenue—current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revenue—long-term</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Contract assets decreased $48.0 million primarily due to achievement of certain contractual milestones in our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division giving us the right to invoice customers.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Advances from customers decreased $4.7 million primarily due to application of certain amounts to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invoices during the period. Total deferred revenue increased $17.8 million primarily due to service contracts which allow us to collect payment prior to performance of these obligations.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Remaining performance obligations related to ASC 606 represent the portion of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allocated to performance obligations under an original contract with a term greater than one year which are fully or partially unsatisfied at the end of the period. As of December 31, 2025, the portion of the transaction price allocated to remaining performance obligations was approximately $625.3 million. We expect to recognize revenue on approximately 47% of the remaining performance obligations over the next 12 months, and the remainder is expected to be recognized thereafter. During the six months ended December 31, 2025, we recognized revenue of $56.9 million from contract liabilities existing at the beginning of the period.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w:t>
      </w:r>
      <w:r>
        <w:rPr>
          <w:rFonts w:ascii="Times New Roman" w:cs="Times New Roman" w:eastAsia="Times New Roman" w:hAnsi="Times New Roman"/>
          <w:sz w:val="18"/>
          <w:szCs w:val="18"/>
          <w:color w:val="auto"/>
        </w:rPr>
        <w:t>In cases where we are responsible for shipping after the customer has obtained control of the goods,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to treat the shipping activities as fulfillment activities rather than as separate performance obligations. Additionally, we have elected to capitalize the cost to obtain a contract only if the period of amortization would be longer than one year. We only give consideration to whether a customer agreement has a financing component if the period of time between transfer of goods and services and customer payment is greater than one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2460" w:type="dxa"/>
            <w:vAlign w:val="bottom"/>
            <w:gridSpan w:val="2"/>
          </w:tcPr>
          <w:p>
            <w:pPr>
              <w:ind w:left="2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related to operating leases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Balance Sheet Category</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 of use (“ROU”) assets,</w:t>
            </w:r>
          </w:p>
        </w:tc>
        <w:tc>
          <w:tcPr>
            <w:tcW w:w="14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w:t>
            </w:r>
          </w:p>
        </w:tc>
        <w:tc>
          <w:tcPr>
            <w:tcW w:w="2980" w:type="dxa"/>
            <w:vAlign w:val="bottom"/>
            <w:vMerge w:val="restart"/>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8"/>
              </w:rPr>
              <w:t>Other assets</w:t>
            </w:r>
          </w:p>
        </w:tc>
        <w:tc>
          <w:tcPr>
            <w:tcW w:w="360" w:type="dxa"/>
            <w:vAlign w:val="bottom"/>
            <w:gridSpan w:val="2"/>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gridSpan w:val="2"/>
            <w:vMerge w:val="continue"/>
            <w:shd w:val="clear" w:color="auto" w:fill="CCEEFF"/>
          </w:tcPr>
          <w:p>
            <w:pPr>
              <w:spacing w:after="0"/>
              <w:rPr>
                <w:sz w:val="8"/>
                <w:szCs w:val="8"/>
                <w:color w:val="auto"/>
              </w:rPr>
            </w:pPr>
          </w:p>
        </w:tc>
        <w:tc>
          <w:tcPr>
            <w:tcW w:w="2980" w:type="dxa"/>
            <w:vAlign w:val="bottom"/>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980" w:type="dxa"/>
            <w:vAlign w:val="bottom"/>
            <w:shd w:val="clear" w:color="auto" w:fill="CCEEFF"/>
          </w:tcPr>
          <w:p>
            <w:pPr>
              <w:jc w:val="center"/>
              <w:ind w:right="74"/>
              <w:spacing w:after="0" w:line="198" w:lineRule="exact"/>
              <w:rPr>
                <w:sz w:val="20"/>
                <w:szCs w:val="20"/>
                <w:color w:val="auto"/>
              </w:rPr>
            </w:pPr>
            <w:r>
              <w:rPr>
                <w:rFonts w:ascii="Times New Roman" w:cs="Times New Roman" w:eastAsia="Times New Roman" w:hAnsi="Times New Roman"/>
                <w:sz w:val="18"/>
                <w:szCs w:val="18"/>
                <w:color w:val="auto"/>
              </w:rPr>
              <w:t>Other accrued expenses and current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980" w:type="dxa"/>
            <w:vAlign w:val="bottom"/>
            <w:vMerge w:val="restart"/>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8"/>
              </w:rPr>
              <w:t>liabilities</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continue"/>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gridSpan w:val="2"/>
            <w:vMerge w:val="continue"/>
            <w:shd w:val="clear" w:color="auto" w:fill="CCEEFF"/>
          </w:tcPr>
          <w:p>
            <w:pPr>
              <w:spacing w:after="0"/>
              <w:rPr>
                <w:sz w:val="9"/>
                <w:szCs w:val="9"/>
                <w:color w:val="auto"/>
              </w:rPr>
            </w:pPr>
          </w:p>
        </w:tc>
        <w:tc>
          <w:tcPr>
            <w:tcW w:w="2980" w:type="dxa"/>
            <w:vAlign w:val="bottom"/>
            <w:vMerge w:val="continue"/>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80" w:type="dxa"/>
            <w:vAlign w:val="bottom"/>
            <w:gridSpan w:val="2"/>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980" w:type="dxa"/>
            <w:vAlign w:val="bottom"/>
            <w:tcBorders>
              <w:bottom w:val="single" w:sz="8" w:color="CCEEFF"/>
            </w:tcBorders>
          </w:tcPr>
          <w:p>
            <w:pPr>
              <w:jc w:val="center"/>
              <w:ind w:right="54"/>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232" w:lineRule="exact"/>
        <w:rPr>
          <w:sz w:val="20"/>
          <w:szCs w:val="20"/>
          <w:color w:val="auto"/>
        </w:rPr>
      </w:pPr>
    </w:p>
    <w:p>
      <w:pPr>
        <w:ind w:left="746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w:t>
        <w:tab/>
        <w:t>Six Months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80" w:type="dxa"/>
            <w:vAlign w:val="bottom"/>
          </w:tcPr>
          <w:p>
            <w:pPr>
              <w:ind w:left="7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2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w:t>
            </w:r>
          </w:p>
        </w:tc>
      </w:tr>
      <w:tr>
        <w:trPr>
          <w:trHeight w:val="41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at December 31, 2025 were as follows (in thousands):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 5 years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12,200</w:t>
            </w:r>
          </w:p>
        </w:tc>
      </w:tr>
      <w:tr>
        <w:trPr>
          <w:trHeight w:val="210"/>
        </w:trPr>
        <w:tc>
          <w:tcPr>
            <w:tcW w:w="7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50,649</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Impairment, Restructuring and Other Charges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endeavor to align our global capacity and infrastructure with demand by our customers and to effectively integrate acquisitions and thereby improve our operational efficiency.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2025, we recognized $2.9 million in impairment, restructuring and other charges, which included $1.0 million for impairment of assets, $0.7 million for employee terminations and $1.2 million for non-recurring business unit modifications in our Healthcare division. During the six months ended December 31, 2025, we recognized $5.6 million in impairment, restructuring and other charges, which included $1.0 million for impairment of assets, $1.1 million for employee terminations, $1.3 million for non-recurring business unit modifications in our Healthcare division, and $2.2 million of non-recurring charges in our Security division.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2024, we recognized $0.2 million in impairment, restructuring and other charges primarily for acquisition-related costs. During the six months ended December 31, 2024, we recognized $1.4 million in impairment, restructuring and other charges, which included $0.6 million in acquisition related costs, $0.2 million for facility closure costs for operational efficiency activities, and $0.6 million for employee terminations.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impairment, restructuring and other charges (benefits), net for the periods set forth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 and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Security Division</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320" w:type="dxa"/>
            <w:vAlign w:val="bottom"/>
            <w:gridSpan w:val="3"/>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continue"/>
          </w:tcPr>
          <w:p>
            <w:pPr>
              <w:spacing w:after="0"/>
              <w:rPr>
                <w:sz w:val="12"/>
                <w:szCs w:val="12"/>
                <w:color w:val="auto"/>
              </w:rPr>
            </w:pPr>
          </w:p>
        </w:tc>
        <w:tc>
          <w:tcPr>
            <w:tcW w:w="320" w:type="dxa"/>
            <w:vAlign w:val="bottom"/>
            <w:gridSpan w:val="3"/>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gridSpan w:val="3"/>
            <w:vMerge w:val="restart"/>
          </w:tcPr>
          <w:p>
            <w:pPr>
              <w:jc w:val="right"/>
              <w:ind w:right="15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3"/>
            <w:vMerge w:val="continue"/>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80" w:type="dxa"/>
            <w:vAlign w:val="bottom"/>
            <w:gridSpan w:val="3"/>
          </w:tcPr>
          <w:p>
            <w:pPr>
              <w:ind w:left="6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0"/>
                <w:szCs w:val="10"/>
                <w:color w:val="auto"/>
              </w:rPr>
            </w:pPr>
          </w:p>
        </w:tc>
        <w:tc>
          <w:tcPr>
            <w:tcW w:w="144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 and</w:t>
            </w:r>
          </w:p>
        </w:tc>
        <w:tc>
          <w:tcPr>
            <w:tcW w:w="320" w:type="dxa"/>
            <w:vAlign w:val="bottom"/>
            <w:gridSpan w:val="3"/>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320" w:type="dxa"/>
            <w:vAlign w:val="bottom"/>
            <w:gridSpan w:val="3"/>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82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​​​Security Division</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32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continue"/>
          </w:tcPr>
          <w:p>
            <w:pPr>
              <w:spacing w:after="0"/>
              <w:rPr>
                <w:sz w:val="12"/>
                <w:szCs w:val="12"/>
                <w:color w:val="auto"/>
              </w:rPr>
            </w:pPr>
          </w:p>
        </w:tc>
        <w:tc>
          <w:tcPr>
            <w:tcW w:w="32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3"/>
            <w:vMerge w:val="continue"/>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December 31, 2024</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 and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82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​​​Security Division</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32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continue"/>
          </w:tcPr>
          <w:p>
            <w:pPr>
              <w:spacing w:after="0"/>
              <w:rPr>
                <w:sz w:val="12"/>
                <w:szCs w:val="12"/>
                <w:color w:val="auto"/>
              </w:rPr>
            </w:pPr>
          </w:p>
        </w:tc>
        <w:tc>
          <w:tcPr>
            <w:tcW w:w="32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gridSpan w:val="3"/>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3"/>
            <w:vMerge w:val="continue"/>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closures/consolidation</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December 31, 2025</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 and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82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​​​Security Division</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32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continue"/>
          </w:tcPr>
          <w:p>
            <w:pPr>
              <w:spacing w:after="0"/>
              <w:rPr>
                <w:sz w:val="12"/>
                <w:szCs w:val="12"/>
                <w:color w:val="auto"/>
              </w:rPr>
            </w:pPr>
          </w:p>
        </w:tc>
        <w:tc>
          <w:tcPr>
            <w:tcW w:w="32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gridSpan w:val="3"/>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3"/>
            <w:vMerge w:val="continue"/>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accrued liability for impairment, restructuring and other charges is included in Other accrued expenses and current liabilities in our condensed consolidated balance sheets. The changes in the accrued liability for impairment, restructuring and other charges for the six-month period ended December 31, 2025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Legal</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Closure/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Consolidation</w:t>
            </w:r>
          </w:p>
        </w:tc>
        <w:tc>
          <w:tcPr>
            <w:tcW w:w="2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gridSpan w:val="2"/>
            <w:vMerge w:val="continue"/>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gridSpan w:val="2"/>
            <w:vMerge w:val="continue"/>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gridSpan w:val="2"/>
            <w:vMerge w:val="continue"/>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and adjustments,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7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we amended and extended our revolving credit facility, now maturing in July 2030, to increase the limit from $600 million to $725 million and replaced the $128.1 million term loan with a $100.0 million term loan which were accounted for as a debt modification. The sub-limit for letters of credit was increased from $300 million to $350 million, which includes up to $300 million for borrowings in certain foreign currencies. Under certain circumstances and subject to certain conditions, we have the ability to increase the revolving credit facility by an amount equal to the greater of $300 million or such amount as would not cause our secured leverage ratio to exceed a specified level. Other enhancements include the permitted securitization of certain qualifying assets of up to $100 million.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Borrowings under the facility bore interest at SOFR plus a margin of 1.25% as of December 31, 2025 (which margin can range from 1.0% to 1.75% based on our consolidated net leverage ratio as defined in the credit facility). Letters of credit reduce the amount available to borrow under the credit facility by their face value amount. The unused portion of the facility bore a commitment fee of 0.15% as of December 31, 2025 (which fee can range from 0.10% to 0.25% based on our consolidated net leverage ratio as defined in the credit facility). Our borrowings under the credit agreement are guaranteed by certain of our U.S.-based subsidiaries and are secured by substantially all of our assets and substantially all the assets of certain of our subsidiaries. The credit facility contains various representations and warranties, affirmative, negative and financial covenants and events of default. As of December 31, 2025, there were no borrowings outstanding under the revolving credit facility, $113.6 million outstanding under the letters of credit sub-facility, and $97.5 million outstanding under the term loan. As of December 31, 2025, the amount available to borrow under the revolving credit facility was $611.4 million. Loan amounts under the revolving credit facility may be borrowed, repaid and re-borrowed during the term. The principal amount of each loan is due and payable in full on the maturity date. We have the right to repay each loan in whole or in part from time to time without penalty. It is our practice to routinely borrow and repay several times per year under the revolving facility and therefore, borrowings under the revolving credit facility are included in current liabilities. As of December 31, 2025, we were in compliance with all financial covenants under this credit facility. In September 2022, we entered into an interest rate swap agreement in order to mitigate the interest rate risk on a portion of the interest payments expected to be made on the borrowings outstanding under the revolving credit facility and term loan. Refer to Note 1 for further information relating to the interest rate swap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2.25% Convertible Senior Notes Due 2029</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we issued an aggregate of $350.0 million principal amount of 2.25% convertible senior notes due in August 2029 in a private offering to qualified institutional buyers pursuant to Rule 144A under the Securities Act of 1933, as amended (the “Securities Act”), at an issuance price equal to 97.5% of the principal amount. The 2029 Notes were issued pursuant to and are governed by an indenture dated July 19, 2024. The proceeds from the issuance of the 2029 Notes were $340.4 million, net of the issuance discount and debt issuance costs.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2029 Notes are unsecured obligations which bear regular interest at 2.25% per annum payable semiannually in arrears on February 1 and August 1 of each year. The 2029 Notes will mature on August 1, 2029, unless repurchased, redeemed, or converted in accordance with their terms prior to such date. The 2029 Notes are convertible into a combination of cash and shares of our common stock, at an initial conversion rate of 5.2090 shares of common stock per $1,000 principal amount of 2029 Notes, which is equivalent to an initial conversion price of approximately $191.98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2029 Notes, at our option, on or after August 6, 2027 if the last reported sale price of our common stock has been at least 130% of the conversion price then in effect for at least 20 trading days at a redemption price equal to 100% of the principal amount of the 2029 Notes to be redeemed, plus accrued and unpaid interest up to the day before the redemption date. The holders of the 2029 Notes may require us to repurchase the 2029 Notes upon the occurrence of certain fundamental change transactions at a redemption price equal to 100% of the principal amount of the 2029 Notes redeemed, plus accrued and unpaid interest up to the day before the redemption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the 2029 Notes may, at their option, convert all or a portion of their 2029 Notes prior to May 1, 2029, in multiples of $1,000 principal amounts, only (i) during any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the 2029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of the 2029 Notes for redemption, at any time prior to the close of business on the scheduled trading day immediately preceding the redemption date, but only with respect to the 2029 Notes called for redemption.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May 1, 2029, the 2029 Notes will be convertible by the holders thereof at any time until the close of business on the second scheduled trading day immediately preceding the maturity date. Holders of the 2029 Notes who convert the 2029 Notes in connection with a make-whole fundamental change, as defined in the indenture governing the 2029 Notes, or in connection with a redemption may be entitled to an increase in the conversion rate.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accounted for the issuance of the 2029 Notes as a single liability measured at its amortized cost, as no other embedded features require bifurcation and recognition as derivatives. The following table is a summary of the 2029 Notes as of December 31, 2025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8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carrying amount</w:t>
            </w:r>
          </w:p>
        </w:tc>
        <w:tc>
          <w:tcPr>
            <w:tcW w:w="1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(Level 2)</w:t>
            </w:r>
          </w:p>
        </w:tc>
        <w:tc>
          <w:tcPr>
            <w:tcW w:w="20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one of the conditions allowing holders of the 2029 Notes to convert had been met. The trading price of our common stock remained above 130% of the applicable $191.98 conversion price for at least 20 trading days during the 30 consecutive trading-day period ending on, and including, December 31, 2025 (the last trading day of the quarter ended December 31, 2025), resulting in the right of the holders of the 2029 Notes to convert their 2029 Notes beginning January 2, 2026 through March 31, 2026 (the last trading day of the quarter ending March 31, 2026). Should the holders of the 2029 Notes elect to convert some or all of the 2029 Notes, we intend to draw on our revolving credit facility to settle the obligation. We have sufficient availability on our revolving credit facility to fully refinance the principal amount of the 2029 Notes for more than one year, accordingly, the net carrying amount of the 2029 Notes continues to be classified as a noncurrent liability on the condensed consolidated balance sheets. To the extent that conversion of the 2029 Notes cannot be refinanced with the revolving credit facility in the future, the portion that cannot be refinanced will be classified as current and recorded in current portion of long-term debt on the condensed consolidated balance sheets. No sinking fund is provided for the 2029 Notes, which means that we are not required to redeem or retire them periodically. As of December 31, 2025 we were in compliance with applicable financial covenants under the indenture governing the 2029 Notes.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each of the three months ended December 31, 2025 and 2024, total interest expense for the 2029 Notes was $2.4 million (comprised of $2.0 million of contractual interest expense and $0.4 million of amortization of debt discount and issuance costs). For the six months ended December 31, 2025, total interest expense for the 2029 Notes was $4.8 million (comprised of $3.9 million of contractual interest expense and $0.9 million of amortization of debt discount and issuance costs) compared with total interest expense for the 2029 Notes of $4.3 million (comprised of $3.5 million of contractual interest expense and $0.8 million of amortization of debt discount and issuance costs) for the six months ended December 31 2024. The unamortized debt issuance cost is amortized on the effective interest method over the life of the 2029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0.50% Convertible Senior Notes Due 2031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we issued an aggregate of $575.0 million principal amount of 0.50% convertible senior notes due in February 2031 in a private offering to qualified institutional buyers pursuant to Rule 144A under the Securities Act at an issuance price equal to 98% of the principal amount. The 2031 Notes were issued pursuant to and are governed by an indenture dated November 20, 2025. The proceeds from the issuance of the 2031 Notes were approximately $562.9 million, net of the issuance discount and debt issuance costs.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2031 Notes are unsecured obligations which bear regular interest at 0.50% per annum payable semiannually in arrears on February 1 and August 1 of each year, beginning on August 1, 2026. The 2031 Notes will mature on February 1, 2031, unless repurchased, redeemed, or converted in accordance with their terms prior to such date. The 2031 Notes are convertible into a combination of cash and shares of our common stock, at an initial conversion rate of 2.8263 shares of common stock per $1,000 principal amount of 2031 Notes, which is equivalent to an initial conversion price of approximately $353.82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2031 Notes, at our option, on or after February 6, 2029 if the last reported sale price of our common stock has been at least 130% of the conversion price then in effect for at least 20 trading days at a redemption price equal to 100% of the principal amount of the 2031 Notes to be redeemed, plus accrued and unpaid interest up to the day before the redemption date. The holders of the 2031 Notes may require us to repurchase the 2031 Notes upon the occurrence of certain fundamental change transactions at a redemption price equal to 100% of the principal amount of the 2031 Notes redeemed, plus accrued and unpaid interest up to the day before the redemption date.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the 2031 Notes may, at their option, convert all or a portion of their 2031 Notes prior to November 1, 2030, in multiples of $1,000 principal amounts, only (i) during any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the 2031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of the 2031 Notes for redemption, at any time prior to the close of business on the scheduled trading day immediately preceding the redemption date, but only with respect to the 2031 Notes called for redemption.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November 1, 2030, the 2031 Notes will be convertible by the holders thereof at any time until the close of business on the second scheduled trading day immediately preceding the maturity date. Holders of the 2031 Notes who convert the 2031 Notes in connection with a make-whole fundamental change, as defined in the indenture governing the 2031 Notes, or in connection with a redemption may be entitled to an increase in the conversion rate.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accounted for the issuance of the 2031 Notes as a single liability measured at its amortized cost, as no other embedded features require bifurcation and recognition as derivatives. The following table is a summary of the 2031 Notes as of December 31, 2025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40" w:type="dxa"/>
            <w:vAlign w:val="bottom"/>
          </w:tcPr>
          <w:p>
            <w:pPr>
              <w:ind w:left="6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tcBorders>
              <w:bottom w:val="single" w:sz="8" w:color="CCEEFF"/>
            </w:tcBorders>
          </w:tcPr>
          <w:p>
            <w:pPr>
              <w:ind w:left="6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(Level 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2031 Notes were not eligible for conversion as of December 31, 2025. No sinking fund is provided for the 2031 Notes, which means that we are not required to redeem or retire them periodically. As of December 31, 2025 we were in compliance with applicable financial covenants under the indenture governing the 2031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2025, total interest expense for the 2031 Notes was $0.6 million (comprised of $0.3 million of contractual interest expense and $0.3 million of amortization of debt discount and issuance costs). The unamortized debt issuance cost is amortized on the effective interest method over the life of the 2031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Borrowings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Several of our foreign subsidiaries maintain bank lines of credit, denominated in local currencies and U.S. dollars, primarily for the issuance of letters of credit. As of December 31, 2025, $62.8 million was outstanding under these letter-of-credit facilities. As of December 31, 2025, the total amount available under these credit facilities was $58.3 million.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ind w:left="74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80" w:type="dxa"/>
            <w:vAlign w:val="bottom"/>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2029 Notes,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343,135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Notes,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563,159</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1,003,954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998,902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principal payments of long-term debt by fiscal year as of December 31, 2025 are as follows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(6 months remaining)</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986,299</w:t>
            </w:r>
          </w:p>
        </w:tc>
      </w:tr>
      <w:tr>
        <w:trPr>
          <w:trHeight w:val="209"/>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1,003,954</w:t>
            </w:r>
          </w:p>
        </w:tc>
      </w:tr>
      <w:tr>
        <w:trPr>
          <w:trHeight w:val="20"/>
        </w:trPr>
        <w:tc>
          <w:tcPr>
            <w:tcW w:w="4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maintained the Amended and Restated 2012 Incentive Award Plan (the “OSI Plan”) as a stock-based employee compensation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stock-based compensation expense in the consolidated statements of operations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0"/>
        </w:trPr>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42"/>
        </w:trPr>
        <w:tc>
          <w:tcPr>
            <w:tcW w:w="4020" w:type="dxa"/>
            <w:vAlign w:val="bottom"/>
          </w:tcPr>
          <w:p>
            <w:pPr>
              <w:spacing w:after="0"/>
              <w:rPr>
                <w:sz w:val="12"/>
                <w:szCs w:val="12"/>
                <w:color w:val="auto"/>
              </w:rPr>
            </w:pPr>
          </w:p>
        </w:tc>
        <w:tc>
          <w:tcPr>
            <w:tcW w:w="1640" w:type="dxa"/>
            <w:vAlign w:val="bottom"/>
            <w:gridSpan w:val="2"/>
          </w:tcPr>
          <w:p>
            <w:pPr>
              <w:ind w:left="1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3"/>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09"/>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22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r>
      <w:tr>
        <w:trPr>
          <w:trHeight w:val="20"/>
        </w:trPr>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share-based compensation grants under the OSI Plan were estimated at $1.3 million for stock options and $19.1 million for restricted stock units (“RSUs”). We expect to recognize these costs over a weighted average period of 2.3 years with respect to the stock options and 2.3 years with respect to the RSUs.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stock option activity during the six months ended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4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vMerge w:val="continue"/>
          </w:tcPr>
          <w:p>
            <w:pPr>
              <w:spacing w:after="0"/>
              <w:rPr>
                <w:sz w:val="12"/>
                <w:szCs w:val="12"/>
                <w:color w:val="auto"/>
              </w:rPr>
            </w:pPr>
          </w:p>
        </w:tc>
        <w:tc>
          <w:tcPr>
            <w:tcW w:w="460" w:type="dxa"/>
            <w:vAlign w:val="bottom"/>
            <w:gridSpan w:val="2"/>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4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380" w:type="dxa"/>
            <w:vAlign w:val="bottom"/>
            <w:vMerge w:val="continue"/>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60" w:type="dxa"/>
            <w:vAlign w:val="bottom"/>
            <w:gridSpan w:val="2"/>
            <w:vMerge w:val="continue"/>
          </w:tcPr>
          <w:p>
            <w:pPr>
              <w:spacing w:after="0"/>
              <w:rPr>
                <w:sz w:val="15"/>
                <w:szCs w:val="15"/>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400" w:type="dxa"/>
            <w:vAlign w:val="bottom"/>
            <w:gridSpan w:val="3"/>
            <w:vMerge w:val="continue"/>
          </w:tcPr>
          <w:p>
            <w:pPr>
              <w:spacing w:after="0"/>
              <w:rPr>
                <w:sz w:val="15"/>
                <w:szCs w:val="15"/>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7.6 years</w:t>
            </w:r>
          </w:p>
        </w:tc>
        <w:tc>
          <w:tcPr>
            <w:tcW w:w="400" w:type="dxa"/>
            <w:vAlign w:val="bottom"/>
            <w:tcBorders>
              <w:top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36,226</w:t>
            </w:r>
          </w:p>
        </w:tc>
        <w:tc>
          <w:tcPr>
            <w:tcW w:w="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109.21</w:t>
            </w:r>
          </w:p>
        </w:tc>
        <w:tc>
          <w:tcPr>
            <w:tcW w:w="220" w:type="dxa"/>
            <w:vAlign w:val="bottom"/>
          </w:tcPr>
          <w:p>
            <w:pPr>
              <w:spacing w:after="0"/>
              <w:rPr>
                <w:sz w:val="17"/>
                <w:szCs w:val="17"/>
                <w:color w:val="auto"/>
              </w:rPr>
            </w:pPr>
          </w:p>
        </w:tc>
        <w:tc>
          <w:tcPr>
            <w:tcW w:w="150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rPr>
              <w:t>6.6 years</w:t>
            </w:r>
          </w:p>
        </w:tc>
        <w:tc>
          <w:tcPr>
            <w:tcW w:w="220" w:type="dxa"/>
            <w:vAlign w:val="bottom"/>
            <w:gridSpan w:val="2"/>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5,283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RSU award activity during the six months ended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00" w:type="dxa"/>
            <w:vAlign w:val="bottom"/>
            <w:vMerge w:val="restart"/>
          </w:tcPr>
          <w:p>
            <w:pPr>
              <w:ind w:left="75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770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355,396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(337,857)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approximately 1.6 million shares available for grant under the OSI Plan. Under the terms of the OSI Plan, RSUs granted from the pool of shares available for grant reduce the pool by 1.87 shares for each award granted. RSUs forfeited and returned to the pool of shares available for grant increase the pool by 1.87 shares for each award forfeited.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granted 80,682 and 48,392 performance-based RSUs during the six months ended December 31, 2024 and 2025, respectively. These performance-based RSU awards are contingent on the achievement of certain performance metrics. The payout related to these awards can range from zero to 280% of the original number of shares or units awarded. Compensation cost associated with these performance-based RSUs are recognized based on the estimated number of shares that we ultimately expect will vest. If the estimated number of shares to vest is revised in the future, then stock-based compensation expense will be adjusted accordingly.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our Board of Directors increased the stock repurchase authorization to a total of 2 million shares. This program does not expire unless our Board of Directors acts to terminate the program. The timing and actual numbers of shares to be purchased under this program will depend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in our consolidated financial statements as a reduction in the number of shares of common stock issued and outstanding, with the excess purchase price over par value recorded as a reduction of additional paid-in capital. If additional paid-in capital were to be reduced to zero, we would record the remainder of the excess purchase price over par value as a reduction of retained earnings.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2025, we repurchased 546,945 shares of common stock for an aggregate purchase price of $146.1 million in connection with the issuance of the 2031 Notes. As of December 31, 2025, there were 643,611 shares remaining available for repurchase under the authorized repurchase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dividends since the consummation of our initial public offering in 1997 and we do not currently intend to pay any dividends in the foreseeable future. Our Board of Directors will determine the payment of future dividends, if any. Certain of our current bank credit facilities restrict the payment of dividends and future borrowings may contain similar restrictions.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Contingent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and conditions of the purchase agreements associated with certain acquisitions, we may be obligated to make additional payments based on the achievement of certain sales or profitability milestones through the acquired operations. For agreements that contain contingent consideration obligations, the remaining maximum amount of such potential future payments is $37.9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Projections and estimated probabilities are used to estimate future contingent earnout payments, which are discounted back to present value to compute contingent earnout liabilities. The following table provides a roll-forward from June 30, 2025 to December 31, 2025 of the contingent consideration liability, which is included in other accrued expenses and current liabilities and other long-term liabilities in our consolidated balance sheets (in thousands):</w:t>
      </w:r>
    </w:p>
    <w:p>
      <w:pPr>
        <w:sectPr>
          <w:pgSz w:w="11900" w:h="16838" w:orient="portrait"/>
          <w:cols w:equalWidth="0" w:num="1">
            <w:col w:w="9920"/>
          </w:cols>
          <w:pgMar w:left="980" w:top="661" w:right="999" w:bottom="1440" w:gutter="0" w:footer="0" w:header="0"/>
        </w:sectPr>
      </w:pPr>
    </w:p>
    <w:p>
      <w:pPr>
        <w:spacing w:after="0" w:line="1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Beginning fair value,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-119380</wp:posOffset>
            </wp:positionV>
            <wp:extent cx="50317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right="2080"/>
        <w:spacing w:after="0" w:line="255" w:lineRule="auto"/>
        <w:rPr>
          <w:sz w:val="20"/>
          <w:szCs w:val="20"/>
          <w:color w:val="auto"/>
        </w:rPr>
      </w:pPr>
      <w:r>
        <w:rPr>
          <w:rFonts w:ascii="Times New Roman" w:cs="Times New Roman" w:eastAsia="Times New Roman" w:hAnsi="Times New Roman"/>
          <w:sz w:val="18"/>
          <w:szCs w:val="18"/>
          <w:color w:val="auto"/>
        </w:rPr>
        <w:t>Changes in fair value for contingent earnout obligations Payments on contingent earnout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-4445</wp:posOffset>
            </wp:positionV>
            <wp:extent cx="503174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Ending fair value, December 31,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19,086</w:t>
            </w:r>
          </w:p>
        </w:tc>
      </w:tr>
    </w:tbl>
    <w:p>
      <w:pPr>
        <w:jc w:val="right"/>
        <w:ind w:right="1000"/>
        <w:spacing w:after="0"/>
        <w:rPr>
          <w:sz w:val="20"/>
          <w:szCs w:val="20"/>
          <w:color w:val="auto"/>
        </w:rPr>
      </w:pPr>
      <w:r>
        <w:rPr>
          <w:rFonts w:ascii="Times New Roman" w:cs="Times New Roman" w:eastAsia="Times New Roman" w:hAnsi="Times New Roman"/>
          <w:sz w:val="18"/>
          <w:szCs w:val="18"/>
          <w:color w:val="auto"/>
        </w:rPr>
        <w:t>(34)</w:t>
      </w:r>
    </w:p>
    <w:p>
      <w:pPr>
        <w:spacing w:after="0" w:line="7"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auto"/>
        </w:rPr>
        <w:t>(5,203)</w:t>
      </w:r>
    </w:p>
    <w:p>
      <w:pPr>
        <w:spacing w:after="0" w:line="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auto"/>
        </w:rPr>
        <w:t>(486)</w:t>
      </w:r>
    </w:p>
    <w:p>
      <w:pPr>
        <w:spacing w:after="0" w:line="9" w:lineRule="exact"/>
        <w:rPr>
          <w:sz w:val="20"/>
          <w:szCs w:val="20"/>
          <w:color w:val="auto"/>
        </w:rPr>
      </w:pPr>
    </w:p>
    <w:p>
      <w:pPr>
        <w:ind w:left="560" w:hanging="42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31750</wp:posOffset>
            </wp:positionV>
            <wp:extent cx="617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665" w:lineRule="exact"/>
        <w:rPr>
          <w:sz w:val="20"/>
          <w:szCs w:val="20"/>
          <w:color w:val="auto"/>
        </w:rPr>
      </w:pPr>
    </w:p>
    <w:p>
      <w:pPr>
        <w:sectPr>
          <w:pgSz w:w="11900" w:h="16838" w:orient="portrait"/>
          <w:cols w:equalWidth="0" w:num="2">
            <w:col w:w="7100" w:space="720"/>
            <w:col w:w="2100"/>
          </w:cols>
          <w:pgMar w:left="980" w:top="661" w:right="999" w:bottom="1440" w:gutter="0" w:footer="0" w:header="0"/>
          <w:type w:val="continuous"/>
        </w:sectPr>
      </w:pP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periodically required to provide performance bonds to do business with certain customers. These arrangements are common in the industry and generally have terms ranging between one year and ten years. The bonds are provided by various bonding agencies. However, we are ultimately liable for claims that may occur against them. As of June 30, 2025 and December 31, 2025, we had a maximum financial exposure related to performance bonds of approximately $104 million and $107 million, respectively. As described in Note 8, we and several of our foreign subsidiaries have issued letters of credit under the revolving credit facility and international bank facilities. These letters of credit are issued to protect various customers, suppliers and government agencies under contractual arrangements and regulatory requirements. We have no history of significant claims and there are no pending matters that would require us to perform under any of these arrangements, and we believe that the resolution of any claims that might arise in the future, either individually or in the aggregate, would not materially affect the consolidated financial statements. Accordingly, no liability for any of these arrangements has been recorded as of June 30, 2025 and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laws. We conduct environmental investigations at our manufacturing facilities in North America, Asia-Pacific, and Europe, and, to the extent practicable, on all new properties in order to identify, as of the date of such investigation, potential areas of environmental concern related to past and present activities or from nearby operations. In certain cases, we have conducted further environmental assessments consisting of soil and groundwater testing and other investigations deemed appropriate by independent environmental consultants.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accrued for loss contingencies relating to environmental matters because we believe that, although unfavorable outcomes are possible, they are not considered by our management to be probable and reasonably estimable. If one or more of these environmental matters are resolved in a manner adverse to us, the impact on our business, financial condition, results of operations and cash flow could be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certain parties with respect to certain matters. We have agreed to hold certain parties harmless against losses arising from a breach of representations, warranties or covenants, or intellectual property infringement or other claims made by third parties. These agreements may limit the time within which an indemnification claim can be made and the amount of the claim. In addition, we have entered into indemnification agreements with our directors and certain of our officers. It is not possible to determine the maximum potential amount under these indemnification agreements due to, among other factors, the limited history of prior indemnification claims and the unique facts and circumstances involved in each particular agreement. We have not recorded any liability for costs related to contingent indemnification obligations as of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our customers warranties on many of the products that we sell. These warranties typically provide for repairs and maintenance of the products if problems arise during a specified time period after original shipment. Concurrent with the sale of products, we record a provision for estimated warranty expenses with a corresponding increase in cost of goods sold. We periodically adjust this provision based on historical experience and anticipated expenses. We charge actual expenses of repairs under warranty, including parts and labor, to this provision when incurred. The current obligation for warranty provision is included in other accrued expenses and current liabilities and the noncurrent portion is included in other long-term liabilities in the consolidated balance sheets.</w:t>
      </w:r>
    </w:p>
    <w:p>
      <w:pPr>
        <w:sectPr>
          <w:pgSz w:w="11900" w:h="16838" w:orient="portrait"/>
          <w:cols w:equalWidth="0" w:num="1">
            <w:col w:w="9920"/>
          </w:cols>
          <w:pgMar w:left="980" w:top="661" w:right="99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warranty provisions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vMerge w:val="restart"/>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7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440" w:type="dxa"/>
            <w:vAlign w:val="bottom"/>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Reductions for warranty repair costs and adjustments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potential or actual claims, litigation and other legal proceedings arising in the ordinary 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any non-ordinary course matters because we believe that, although unfavorable outcomes in the proceedings are possible, they are not considered by management to be probable and reasonably estimable. If one or more of these matters are resolved in a manner adverse to our Company, the impact on our business, financial condition, results of operations and cash flows could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the annual effective tax rate is based upon a number of significant estimates and judgments, including the estimated annual pretax income in each tax jurisdiction in which we operate and the development of tax planning strategies during the year. In addition, as a global commercial enterprise, our tax expense can be impacted by changes in tax rates or laws, the finalization of tax audits and reviews and other factors that cannot be predicted with certainty. As such, there can be significant volatility in interim tax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tax rates for the three months ended December 31, 2024 and 2025 were 23.3% and 19.5%, respectively. During the three months ended December 31, 2024, we recognized a net discrete tax benefit of $0.3 million, related to equity-based compensation under ASU 2016-09. During the three months ended December 31, 2025 we recognized a net discrete tax benefit of $0.9 million related to equity-based compensation under ASU 2016-09 and a benefit of $1.0 million for changes in prior years estimates. The effective tax rates for the six months ended December 31, 2024 and 2025 were 22.9% and 19.7%, respectively. During the six months ended December 31, 2024, we recognized a net discrete tax benefit of $0.8 million, related to equity-based compensation under ASU 2016-09. During the six months ended December 31, 2025 we recognized a net discrete tax benefit of $1.7 million, related to equity-based compensation under ASU 2016-09 and a benefit of $1.0 million for changes in prior-year tax estimates.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signed into law. Key income-tax related provisions of the OBBBA relevant to our Company include the removal of mandatory capitalization of domestic research and development expenditures, permanent extension of bonus depreciation and revisions to international tax regimes. We are evaluating the financial impact of OBBBA, which is in effect for the current fiscal year ending June 30, 2026. The legislation will affect the timing and recognition of certain deductions, which, if implemented, could impact our effective tax rate and deferred tax balances in future periods.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We operate in three identifiable industry segments: (a) security and inspection systems (Security division), (b) optoelectronic devices and manufacturing (Optoelectronics and Manufacturing division) and (c) medical monitoring systems (Healthcare division). We also have a corporate segment (Corporate) that includes executive compensation and certain other general and administrative expenses, expenses related to stock issuances and legal, audit and other professional service fees not allocated to industry segments. Both the Security and Healthcare divisions comprise primarily end-product businesses, whereas the Optoelectronics and Manufacturing division primarily supplies components and subsystems to external OEM customers, as well as to the Security and Healthcare divisions. Sales between divisions are at transfer prices that approximate market values. All other accounting policies of the segments are the same as described in Note 1, Basis of Presentation. We disclose segment income (loss) from operations as our measure of segment profit/loss, reconciled to consolidated income (loss) from operations. The measure of segment income (loss) from operations excludes impairment, restructuring and other charges presented below which are presented to reconcile to consolidated income from operations. Business segment disclosures consider information used by/provided to our chief operating decision maker (“CODM”). Our Chief Executive Officer serves as the CODM. The CODM uses segment income (loss) from operations, as well as the expenses within each segment including cost of sales, selling, general and administrative expenses and research and development expenses, to allocate resources to segments in the budgeting and forecasting process along with periodic ongoing reviews of results and overall activity in the markets where each segment operates.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results of operations and identifiable assets by our three industry segments, along with amounts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Corporate/Eliminations, which are reconciled to consolidated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9"/>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8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 w:type="dxa"/>
            <w:vAlign w:val="bottom"/>
          </w:tcPr>
          <w:p>
            <w:pPr>
              <w:spacing w:after="0"/>
              <w:rPr>
                <w:sz w:val="15"/>
                <w:szCs w:val="15"/>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Division</w:t>
            </w:r>
          </w:p>
        </w:tc>
        <w:tc>
          <w:tcPr>
            <w:tcW w:w="19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 ​​​Consolidated</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(1):</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289,987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44,854</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between segments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289,987</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100,743</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184,853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54,053</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54,053</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3,688</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618</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6,904</w:t>
            </w:r>
          </w:p>
        </w:tc>
        <w:tc>
          <w:tcPr>
            <w:tcW w:w="20" w:type="dxa"/>
            <w:vAlign w:val="bottom"/>
            <w:tcBorders>
              <w:bottom w:val="single" w:sz="8" w:color="auto"/>
            </w:tcBorders>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1,939</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1,406</w:t>
            </w:r>
          </w:p>
        </w:tc>
        <w:tc>
          <w:tcPr>
            <w:tcW w:w="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48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340" w:right="60" w:hanging="332"/>
        <w:spacing w:after="0" w:line="27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December 31, 2024, one customer in the Security division accounted for 10% of the Company’s consolidated net revenues.</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8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 w:type="dxa"/>
            <w:vAlign w:val="bottom"/>
          </w:tcPr>
          <w:p>
            <w:pPr>
              <w:spacing w:after="0"/>
              <w:rPr>
                <w:sz w:val="15"/>
                <w:szCs w:val="15"/>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Division</w:t>
            </w:r>
          </w:p>
        </w:tc>
        <w:tc>
          <w:tcPr>
            <w:tcW w:w="19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 ​​​Consolidated</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(2):</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334,705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between segments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334,705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226,159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8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4,189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368</w:t>
            </w: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6,322</w:t>
            </w:r>
          </w:p>
        </w:tc>
        <w:tc>
          <w:tcPr>
            <w:tcW w:w="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1,720</w:t>
            </w:r>
          </w:p>
        </w:tc>
        <w:tc>
          <w:tcPr>
            <w:tcW w:w="1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1,070</w:t>
            </w:r>
          </w:p>
        </w:tc>
        <w:tc>
          <w:tcPr>
            <w:tcW w:w="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494</w:t>
            </w:r>
          </w:p>
        </w:tc>
        <w:tc>
          <w:tcPr>
            <w:tcW w:w="180" w:type="dxa"/>
            <w:vAlign w:val="bottom"/>
            <w:gridSpan w:val="2"/>
            <w:vMerge w:val="continue"/>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48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340" w:right="100" w:hanging="332"/>
        <w:spacing w:after="0" w:line="27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December 31, 2025, no customer accounted for 10% or more of the Company’s consolidated net revenues.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 December 31, 2024</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Healthcare</w:t>
            </w:r>
          </w:p>
        </w:tc>
        <w:tc>
          <w:tcPr>
            <w:tcW w:w="16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Division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Eliminations</w:t>
            </w:r>
          </w:p>
        </w:tc>
        <w:tc>
          <w:tcPr>
            <w:tcW w:w="9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(3):</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514,301</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167,570</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763,827</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between segments</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514,301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198,538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763,827</w:t>
            </w: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495,174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36,030</w:t>
            </w:r>
          </w:p>
        </w:tc>
        <w:tc>
          <w:tcPr>
            <w:tcW w:w="0" w:type="dxa"/>
            <w:vAlign w:val="bottom"/>
          </w:tcPr>
          <w:p>
            <w:pPr>
              <w:spacing w:after="0"/>
              <w:rPr>
                <w:sz w:val="1"/>
                <w:szCs w:val="1"/>
                <w:color w:val="auto"/>
              </w:rPr>
            </w:pPr>
          </w:p>
        </w:tc>
      </w:tr>
      <w:tr>
        <w:trPr>
          <w:trHeight w:val="21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82,909</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88,285</w:t>
            </w:r>
          </w:p>
        </w:tc>
        <w:tc>
          <w:tcPr>
            <w:tcW w:w="0" w:type="dxa"/>
            <w:vAlign w:val="bottom"/>
          </w:tcPr>
          <w:p>
            <w:pPr>
              <w:spacing w:after="0"/>
              <w:rPr>
                <w:sz w:val="1"/>
                <w:szCs w:val="1"/>
                <w:color w:val="auto"/>
              </w:rPr>
            </w:pPr>
          </w:p>
        </w:tc>
      </w:tr>
      <w:tr>
        <w:trPr>
          <w:trHeight w:val="197"/>
        </w:trPr>
        <w:tc>
          <w:tcPr>
            <w:tcW w:w="42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9,158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1,414</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13,195</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14,739</w:t>
            </w:r>
          </w:p>
        </w:tc>
        <w:tc>
          <w:tcPr>
            <w:tcW w:w="160" w:type="dxa"/>
            <w:vAlign w:val="bottom"/>
            <w:vMerge w:val="continue"/>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3,884</w:t>
            </w:r>
          </w:p>
        </w:tc>
        <w:tc>
          <w:tcPr>
            <w:tcW w:w="16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2,676</w:t>
            </w: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798</w:t>
            </w:r>
          </w:p>
        </w:tc>
        <w:tc>
          <w:tcPr>
            <w:tcW w:w="1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22,097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48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right="1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December 31, 2024, one customer in the Security division accounted for 12% of the Company’s consolidated net revenues.</w:t>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020"/>
          </w:cols>
          <w:pgMar w:left="980" w:top="661" w:right="8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December 31, 2025</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Healthcare</w:t>
            </w:r>
          </w:p>
        </w:tc>
        <w:tc>
          <w:tcPr>
            <w:tcW w:w="140" w:type="dxa"/>
            <w:vAlign w:val="bottom"/>
          </w:tcPr>
          <w:p>
            <w:pPr>
              <w:spacing w:after="0"/>
              <w:rPr>
                <w:sz w:val="12"/>
                <w:szCs w:val="12"/>
                <w:color w:val="auto"/>
              </w:rPr>
            </w:pP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Division</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Eliminations</w:t>
            </w: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(4):</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588,953</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848,680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between segments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588,953</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222,013</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77,277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848,680</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573,866</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40,186</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97,472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84,070</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26,659</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91,868</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7,750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3,394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13,713</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13,250</w:t>
            </w:r>
          </w:p>
        </w:tc>
        <w:tc>
          <w:tcPr>
            <w:tcW w:w="1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3,401</w:t>
            </w:r>
          </w:p>
        </w:tc>
        <w:tc>
          <w:tcPr>
            <w:tcW w:w="1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2,236</w:t>
            </w: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979</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19,866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48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(4) For the six months ended December 31, 2025, no customer accounted for 10% or more of the Company’s consolidated net revenues.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100" w:type="dxa"/>
            <w:vAlign w:val="bottom"/>
            <w:vMerge w:val="restart"/>
          </w:tcPr>
          <w:p>
            <w:pPr>
              <w:ind w:left="49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5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vMerge w:val="continue"/>
          </w:tcPr>
          <w:p>
            <w:pPr>
              <w:spacing w:after="0"/>
              <w:rPr>
                <w:sz w:val="15"/>
                <w:szCs w:val="15"/>
                <w:color w:val="auto"/>
              </w:rPr>
            </w:pPr>
          </w:p>
        </w:tc>
        <w:tc>
          <w:tcPr>
            <w:tcW w:w="9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(1) —by Segment:</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Security division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1,608,985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1,674,672</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Optoelectronics and Manufacturing division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294,179</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Healthcare division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272,241</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Corporate/Eliminations (2)</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61,439</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281,149</w:t>
            </w:r>
          </w:p>
        </w:tc>
        <w:tc>
          <w:tcPr>
            <w:tcW w:w="0" w:type="dxa"/>
            <w:vAlign w:val="bottom"/>
          </w:tcPr>
          <w:p>
            <w:pPr>
              <w:spacing w:after="0"/>
              <w:rPr>
                <w:sz w:val="1"/>
                <w:szCs w:val="1"/>
                <w:color w:val="auto"/>
              </w:rPr>
            </w:pPr>
          </w:p>
        </w:tc>
      </w:tr>
      <w:tr>
        <w:trPr>
          <w:trHeight w:val="210"/>
        </w:trPr>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2,241,257</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2,522,241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5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20" w:hanging="332"/>
        <w:spacing w:after="0" w:line="261" w:lineRule="auto"/>
        <w:tabs>
          <w:tab w:leader="none" w:pos="3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and December 31, 2025 one customer in the Security division accounted for 42% and 41% of the Company’s accounts receivable, net, respectively.</w:t>
      </w:r>
    </w:p>
    <w:p>
      <w:pPr>
        <w:jc w:val="both"/>
        <w:ind w:left="340" w:hanging="332"/>
        <w:spacing w:after="0" w:line="255" w:lineRule="auto"/>
        <w:tabs>
          <w:tab w:leader="none" w:pos="3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assets reflect the amount of inter-segment profits in inventory and inter-segment ROU assets under ASC 842 as of the balance sheet date. Such inter-segment profit in inventory will be realized when the associated inventory is shipped to the external customers of the Security and Healthcare divisions.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report, “OSI”, the “Company”, “we”, “us”, “our” and similar terms refer to OSI Systems, Inc. together with our wholly-owned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as of December 31, 2025 and results of operations for the three and six months ended December 31, 2025 should be read in conjunction with management’s discussion and analysis of financial condition and results of operations included in our Annual Report on Form 10-K for the fiscal year ended June 30, 2025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Private Securities Litigation Reform Act of 1995, Section 27A of the Securities Act of 1933, as amended, and Section 21E of the Securities Exchange Act of 1934, as amended (the “Exchange Act”). Forward-looking statements relate to our current expectations, beliefs, and projections concerning matters that are not historical facts. Words such as “project,” “believe,” “anticipate,” “plan,” “expect,” “intend,” “may,” “should,” “will,” “would,” and similar words and expressions are intended to identify forward-looking statements. Forward-looking statements are not guarantees of future performance and involve uncertainties, risks, assumptions and contingencies, many of which are outside our control. Assumptions upon which our forward-looking statements are based could prove to be inaccurate, and actual results may differ materially from those expressed in or implied by such forward-looking statements. Important factors that could cause our actual results to differ materially from our expectations are disclosed in this report, our Annual Report on Form 10-K for the fiscal year ended June 30, 2025 (including Part I, Item 1, “Business,” Part I, Item 1A, “Risk Factors” and Part II, Item 7, “Management’s Discussion and Analysis of Financial Condition and Results of Operations”) and other documents filed by us from time to time with the SEC. Such factors, of course, do not include all factors that might affect our business and financial condition. We could be exposed to a variety of negative consequences as a result of delays related to the award of domestic and international contracts; failure to secure the renewal of key customer contracts; delays in customer programs; government shutdown; delays in revenue recognition related to the timing of customer acceptance; the impact of potential information technology, cybersecurity or data security breaches; changes in domestic and foreign government spending, budgetary, procurement, and trade policies adverse to our businesses; the impact of the Russia-Ukraine conflict or conflicts in the Middle East, including the potential for broad economic disruption; global economic uncertainty, including the impact of tariffs; material delays and cancellations of orders or deliveries thereon, supply chain disruptions, plant closures, or other adverse impacts on our ability to execute business plans; unfavorable currency exchange rate fluctuations; unfavorable interest rate fluctuations; effect of changes in tax legislation, guidance and interpretations; market acceptance of our new and existing technologies, products and services; our ability to win new business and convert any orders received to sales within the fiscal year; contract and regulatory compliance matters, and actions, which if brought, could result in judgments, settlements, fines, injunctions, debarment or penalties; and other risks and uncertainties, including but not limited to those factors described in our other SEC filings. All forward-looking statements contained in this report are qualified in their entirety by this section.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Investors should not place undue reliance on forward-looking statements as a prediction of actual results. We undertake no obligation other than as may be required under securities laws to publicly update or revise any forward-looking statements, whether as a result of new information, future events or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vertically integrated designer and manufacturer of specialized electronic systems and components for critical applications. We sell our products and provide related services in diversified markets, including homeland security, healthcare, defense and aerospace. We have three operating divisions: (a) Security, providing security and inspection systems and turnkey security screening solutions; (b) Optoelectronics and Manufacturing, providing specialized electronic components for our Security and Healthcare divisions, as well as to third parties for applications in the defense and aerospace markets, among others; and (c) Healthcare, providing patient monitoring, cardiology and remote monitoring, and connected care systems and associated accessories.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Security Division</w:t>
      </w:r>
      <w:r>
        <w:rPr>
          <w:rFonts w:ascii="Times New Roman" w:cs="Times New Roman" w:eastAsia="Times New Roman" w:hAnsi="Times New Roman"/>
          <w:sz w:val="18"/>
          <w:szCs w:val="18"/>
          <w:color w:val="auto"/>
        </w:rPr>
        <w:t>. Through our Security division, we provide security screening products and services globally, as well as turnkey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screening solutions. These products and services are used to inspect baggage, parcels, cargo, people, vehicles and other objects for weapons, explosives, drugs, radioactive and nuclear materials and other contraband.</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Optoelectronics and Manufacturing Division</w:t>
      </w:r>
      <w:r>
        <w:rPr>
          <w:rFonts w:ascii="Times New Roman" w:cs="Times New Roman" w:eastAsia="Times New Roman" w:hAnsi="Times New Roman"/>
          <w:sz w:val="18"/>
          <w:szCs w:val="18"/>
          <w:color w:val="auto"/>
        </w:rPr>
        <w:t>. Through our Optoelectronics and Manufacturing division, we design, manufacture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We also provide our optoelectronic devices and electronics manufacturing services to OEM customers and to our own Security and Healthcare divisions.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Healthcare Division. </w:t>
      </w:r>
      <w:r>
        <w:rPr>
          <w:rFonts w:ascii="Times New Roman" w:cs="Times New Roman" w:eastAsia="Times New Roman" w:hAnsi="Times New Roman"/>
          <w:sz w:val="18"/>
          <w:szCs w:val="18"/>
          <w:color w:val="auto"/>
        </w:rPr>
        <w:t>Through our Healthcare division, we design, manufacture, market and service patient monitoring, cardiology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monitoring, and connected care systems globally for sale primarily to hospitals and medical centers. Our products monitor patients in critical, emergency and perioperative care areas of the hospital and provide information, through wired and wireless networks, to physicians and nurses who may be at the patient’s bedside, in another area of the hospital or even outside the hospital.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certain trends and uncertainties that we believe have influenced, and may continue to influence, our results of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Considerations. </w:t>
      </w:r>
      <w:r>
        <w:rPr>
          <w:rFonts w:ascii="Times New Roman" w:cs="Times New Roman" w:eastAsia="Times New Roman" w:hAnsi="Times New Roman"/>
          <w:sz w:val="18"/>
          <w:szCs w:val="18"/>
          <w:color w:val="auto"/>
        </w:rPr>
        <w:t>Our products and services are sold in numerous countries worldwide, with a large percentage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generated outside the United States. Therefore, we are exposed to and impacted by global macroeconomic factors, U.S. and foreign government policies and foreign exchange fluctuations. There is uncertainty surrounding macroeconomic factors in the U.S. and globally characterized by the supply chain environment, inflationary pressure, interest rates, and labor shortages. Increasing diplomatic and trade friction between the U.S. and China has also created significant uncertainty in the global economy. These global macroeconomic factors, coupled with political unrest internationally and the volatile U.S. political climate, have created uncertainty and impacted demand for certain of our products and services. The continued conflict between Russia and Ukraine and the sanctions imposed in response to this conflict have increased global economic and political uncertainty. While the impact of these factors remains uncertain, we will continue to evaluate the extent to which these factors will impact our business, financial condition or results of operations. We do not know how long this uncertainty will continue. These factors could have a material adverse effect on our business, results of operations and financial condition.</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Trade. </w:t>
      </w:r>
      <w:r>
        <w:rPr>
          <w:rFonts w:ascii="Times New Roman" w:cs="Times New Roman" w:eastAsia="Times New Roman" w:hAnsi="Times New Roman"/>
          <w:sz w:val="18"/>
          <w:szCs w:val="18"/>
          <w:color w:val="auto"/>
        </w:rPr>
        <w:t>The current domestic and international political environment, including in relation to recent and further potential 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U.S. and other countries in policies on global trade and tariffs, have resulted in uncertainty surrounding the future state of the global economy and global trade. This uncertainty is exacerbated by sanctions imposed by the U.S. government against certain businesses and individuals in select other countries. Tariffs and trade restrictions and retaliatory measures by such other countries could result in revenue reductions for the Company or cost increases on material used in our products. We are taking measures to contain costs to reduce the impact of tariffs and to date, such measures have helped reduce our exposure to these conditions. Continued or increased uncertainty regarding global trade due to these or other factors may require us to modify our current business practices and could have a material adverse effect on our business, financial condition, results of operations and cash flows.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Considerations. </w:t>
      </w:r>
      <w:r>
        <w:rPr>
          <w:rFonts w:ascii="Times New Roman" w:cs="Times New Roman" w:eastAsia="Times New Roman" w:hAnsi="Times New Roman"/>
          <w:sz w:val="18"/>
          <w:szCs w:val="18"/>
          <w:color w:val="auto"/>
        </w:rPr>
        <w:t>Certain hospitals are facing significant financial pressure as supply chain constraints and inflation drive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costs. To the extent macroeconomic conditions remain challenging, it is likely that hospitals’ spend on capital equipment will be adversely impacted.</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Government Policies. </w:t>
      </w:r>
      <w:r>
        <w:rPr>
          <w:rFonts w:ascii="Times New Roman" w:cs="Times New Roman" w:eastAsia="Times New Roman" w:hAnsi="Times New Roman"/>
          <w:sz w:val="18"/>
          <w:szCs w:val="18"/>
          <w:color w:val="auto"/>
        </w:rPr>
        <w:t>Our results of operations and cash flows could be materially affected by changes in U.S. or foreign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legislative, regulatory or enforcement policies, as well as potential U.S. government shutdowns.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Russia’s Invasion of Ukraine. </w:t>
      </w:r>
      <w:r>
        <w:rPr>
          <w:rFonts w:ascii="Times New Roman" w:cs="Times New Roman" w:eastAsia="Times New Roman" w:hAnsi="Times New Roman"/>
          <w:sz w:val="18"/>
          <w:szCs w:val="18"/>
          <w:color w:val="auto"/>
        </w:rPr>
        <w:t>The invasion of Ukraine by Russia and the sanctions imposed in response to this conflict have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economic and political uncertainty. This has the potential to indirectly disrupt our supply chain and access to certain resources. While we have not experienced material adverse impacts to date resulting from this conflict, we have certain research and development activities within Ukraine for our Healthcare division which have been somewhat impacted. The conflicts also have increased the threat of malicious cyber-activity from other countries and other actors.</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Currency Exchange Rates. </w:t>
      </w:r>
      <w:r>
        <w:rPr>
          <w:rFonts w:ascii="Times New Roman" w:cs="Times New Roman" w:eastAsia="Times New Roman" w:hAnsi="Times New Roman"/>
          <w:sz w:val="18"/>
          <w:szCs w:val="18"/>
          <w:color w:val="auto"/>
        </w:rPr>
        <w:t>On a year-over-year basis, currency exchange rates positively impacted reported sales by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0.6% for the six months ended December 31, 2025 compared to the six months ended December 31, 2024, primarily due to the weakening of the U.S. dollar against other foreign currencies in 2025. Any strengthening of the U.S. dollar against foreign currencies would adversely impact our sales for the remainder of the fiscal year, and any weakening of the U.S. dollar against foreign currencies would positively impact our sales for the remainder of the fiscal year.</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December 31, 2024 (Q2 Fiscal 2025) Compared to the Three Months Ended December 31, 2025 (Q2 Fiscal 2026) (amounts in millions)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and the discussion that follows are based upon the way in which we analyze our business. See Note 12 to the condensed consolidated financial statements for additional information about our business segments.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Q2</w:t>
            </w:r>
          </w:p>
        </w:tc>
        <w:tc>
          <w:tcPr>
            <w:tcW w:w="11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6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3"/>
                <w:szCs w:val="13"/>
                <w:color w:val="auto"/>
              </w:rPr>
            </w:pPr>
          </w:p>
        </w:tc>
        <w:tc>
          <w:tcPr>
            <w:tcW w:w="122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7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Revenues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3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Revenues ​​​</w:t>
            </w:r>
          </w:p>
        </w:tc>
        <w:tc>
          <w:tcPr>
            <w:tcW w:w="740" w:type="dxa"/>
            <w:vAlign w:val="bottom"/>
            <w:gridSpan w:val="2"/>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Optoelectronics and Manufacturing</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10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9"/>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revenues</w:t>
            </w: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r>
              <w:rPr>
                <w:rFonts w:ascii="Times New Roman" w:cs="Times New Roman" w:eastAsia="Times New Roman" w:hAnsi="Times New Roman"/>
                <w:sz w:val="18"/>
                <w:szCs w:val="18"/>
                <w:u w:val="single" w:color="auto"/>
                <w:color w:val="auto"/>
              </w:rPr>
              <w:t>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Security division during Q2 fiscal 2026 increased year-over-year due to increases in product and service revenues of approximately $17.7 million and $27.0 million, respectively. The increase in product revenues was primarily driven by sales of aviation screening systems and radio frequency (RF) products. The increase in service revenue was due primarily to an increase in the installed base of products.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the Optoelectronics and Manufacturing division during Q2 fiscal 2026 increased year-over-year as a result of an increase in revenues in our contract manufacturing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the Healthcare division during Q2 fiscal 2026 decreased year-over-year primarily due to a decrease in patient monitoring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3"/>
                <w:szCs w:val="13"/>
                <w:color w:val="auto"/>
              </w:rPr>
            </w:pPr>
          </w:p>
        </w:tc>
        <w:tc>
          <w:tcPr>
            <w:tcW w:w="11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 of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3"/>
                <w:szCs w:val="13"/>
                <w:color w:val="auto"/>
              </w:rPr>
            </w:pPr>
          </w:p>
        </w:tc>
        <w:tc>
          <w:tcPr>
            <w:tcW w:w="104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73"/>
        </w:trPr>
        <w:tc>
          <w:tcPr>
            <w:tcW w:w="3340" w:type="dxa"/>
            <w:vAlign w:val="bottom"/>
          </w:tcPr>
          <w:p>
            <w:pPr>
              <w:spacing w:after="0"/>
              <w:rPr>
                <w:sz w:val="15"/>
                <w:szCs w:val="15"/>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Fiscal 2025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r>
              <w:rPr>
                <w:rFonts w:ascii="Times New Roman" w:cs="Times New Roman" w:eastAsia="Times New Roman" w:hAnsi="Times New Roman"/>
                <w:sz w:val="14"/>
                <w:szCs w:val="14"/>
                <w:color w:val="auto"/>
              </w:rPr>
              <w:t xml:space="preserve">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1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w:t>
            </w:r>
            <w:r>
              <w:rPr>
                <w:rFonts w:ascii="Times New Roman" w:cs="Times New Roman" w:eastAsia="Times New Roman" w:hAnsi="Times New Roman"/>
                <w:sz w:val="18"/>
                <w:szCs w:val="18"/>
                <w:u w:val="single" w:color="auto"/>
                <w:color w:val="auto"/>
              </w:rPr>
              <w:t>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is impacted by sales volume and changes in overall manufacturing-related costs, such as raw materials and component costs, warranty expense, provision for inventory, freight, tariffs, and logistics. Gross profit increased approximately $4.5 million in Q2 fiscal 2026 as compared to the prior year driven by the increase in sales. The gross margin decreased as compared to the prior year comparable period as the prior year period had a favorable mix of Security division product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Q2</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 of</w:t>
            </w:r>
          </w:p>
        </w:tc>
        <w:tc>
          <w:tcPr>
            <w:tcW w:w="180" w:type="dxa"/>
            <w:vAlign w:val="bottom"/>
          </w:tcPr>
          <w:p>
            <w:pPr>
              <w:spacing w:after="0"/>
              <w:rPr>
                <w:sz w:val="13"/>
                <w:szCs w:val="13"/>
                <w:color w:val="auto"/>
              </w:rPr>
            </w:pPr>
          </w:p>
        </w:tc>
        <w:tc>
          <w:tcPr>
            <w:tcW w:w="6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3"/>
                <w:szCs w:val="13"/>
                <w:color w:val="auto"/>
              </w:rPr>
            </w:pPr>
          </w:p>
        </w:tc>
        <w:tc>
          <w:tcPr>
            <w:tcW w:w="11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7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0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Fiscal 2025</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r>
              <w:rPr>
                <w:rFonts w:ascii="Times New Roman" w:cs="Times New Roman" w:eastAsia="Times New Roman" w:hAnsi="Times New Roman"/>
                <w:sz w:val="14"/>
                <w:szCs w:val="14"/>
                <w:color w:val="auto"/>
              </w:rPr>
              <w:t xml:space="preserve">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r>
              <w:rPr>
                <w:rFonts w:ascii="Times New Roman" w:cs="Times New Roman" w:eastAsia="Times New Roman" w:hAnsi="Times New Roman"/>
                <w:sz w:val="14"/>
                <w:szCs w:val="14"/>
                <w:color w:val="auto"/>
              </w:rPr>
              <w:t xml:space="preserve"> ​​​</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Impairment, restructuring and other charges,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18"/>
                <w:szCs w:val="18"/>
                <w:u w:val="single" w:color="auto"/>
                <w:color w:val="auto"/>
              </w:rPr>
              <w:t>9</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significant selling, general and administrative (“SG&amp;A”) expenses include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sales commissions, travel, professional services, marketing expenses, foreign currency translation, and depreciation and amortization expense. On an 11% year-over-year increase in revenues, our SG&amp;A expenses for Q2 fiscal 2026 were comparable to the same period last year.</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(“R&amp;D”) expenses include research related to new product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enhancements. R&amp;D expenses increased $1.5 million in Q2 fiscal 2026 as compared to Q2 fiscal 2025 driven by increased compensation costs to support new product development initiatives in our Security and Healthcare divisions.</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restructuring and other charges. </w:t>
      </w:r>
      <w:r>
        <w:rPr>
          <w:rFonts w:ascii="Times New Roman" w:cs="Times New Roman" w:eastAsia="Times New Roman" w:hAnsi="Times New Roman"/>
          <w:sz w:val="18"/>
          <w:szCs w:val="18"/>
          <w:color w:val="auto"/>
        </w:rPr>
        <w:t>Impairment, restructuring and other charges generally consist of costs relating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reductions in our workforce, facilities consolidation, costs related to acquisition activity, and other non-recurring charges. During Q2 fiscal 2026, we recognized $2.9 million in impairment, restructuring and other charges, which included $1.0 million for impairment of assets, $0.7 million for employee terminations and $1.2 million for non-recurring business unit modifications in our Healthcare division. During Q2 fiscal 2025, we recognized $0.2 million primarily for acquisition activity.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3"/>
                <w:szCs w:val="13"/>
                <w:color w:val="auto"/>
              </w:rPr>
            </w:pPr>
          </w:p>
        </w:tc>
        <w:tc>
          <w:tcPr>
            <w:tcW w:w="11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3"/>
                <w:szCs w:val="13"/>
                <w:color w:val="auto"/>
              </w:rPr>
            </w:pPr>
          </w:p>
        </w:tc>
        <w:tc>
          <w:tcPr>
            <w:tcW w:w="10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73"/>
        </w:trPr>
        <w:tc>
          <w:tcPr>
            <w:tcW w:w="406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Revenues ​​​</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1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Revenues</w:t>
            </w:r>
          </w:p>
        </w:tc>
      </w:tr>
      <w:tr>
        <w:trPr>
          <w:trHeight w:val="21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was $8.6 million and $10.7 million for Q2 fiscal 2025 and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increase was due to a charge included in other expense in Q2 fiscal 2026 of $4.4 million for prior service cost amortization due to a pension plan amendment in December 2025 for our former CEO. This increase was partially offset by a decrease in interest expense, net as a result of lower average interest rates on our borrowings due to new convertible notes and paydown of our revolving credit facility and higher interest income on increased levels of cash in Q2 fiscal 2026 compared to the same prior year period.</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The effective tax rate for a particular period varies depending on a number of factors, including (i) the mix of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in various tax jurisdictions, each of which applies a unique range of income tax rates and income tax credits, (ii) changes in previously established valuation allowances for deferred tax assets (changes are based upon our current analysis of the likelihood that these deferred tax assets will be realized), (iii) the level of non-deductible expenses, (iv) certain tax elections (v) tax holidays granted to certain of our international subsidiaries and (vi) discrete tax items. For Q2 fiscal 2025 and 2026, we recognized a provision for income taxes of $11.5 million and $9.4 million, respectively. The effective tax rates for Q2 fiscal 2025 and 2026 were 23.3% and 19.5%, respectively. During Q2 fiscal 2025, we recognized a net discrete tax benefit of $0.3 million related to equity-based compensation under ASU 2016-09. During Q2 fiscal 2026, we recognized a net discrete tax benefit of $0.8 million related to equity-based compensation under ASU 2016-09 and a benefit of $1.0 million from changes in prior year estimates.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Operations for the Six Months Ended December 31, 2024 (YTD Q2 Fiscal 2025) Compared to the Six Months Ended December 31, 2025 (YTD Q2 Fiscal 2026) (amounts in millions)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and the discussion that follows are based upon the way in which we analyze our business. See Note 12 to the condensed consolidated financial statements for additional information about our business segments.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YTD Q2</w:t>
            </w:r>
          </w:p>
        </w:tc>
        <w:tc>
          <w:tcPr>
            <w:tcW w:w="160" w:type="dxa"/>
            <w:vAlign w:val="bottom"/>
          </w:tcPr>
          <w:p>
            <w:pPr>
              <w:spacing w:after="0"/>
              <w:rPr>
                <w:sz w:val="13"/>
                <w:szCs w:val="13"/>
                <w:color w:val="auto"/>
              </w:rPr>
            </w:pPr>
          </w:p>
        </w:tc>
        <w:tc>
          <w:tcPr>
            <w:tcW w:w="12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 of</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8"/>
              </w:rPr>
              <w:t>YTD Q2</w:t>
            </w:r>
          </w:p>
        </w:tc>
        <w:tc>
          <w:tcPr>
            <w:tcW w:w="140" w:type="dxa"/>
            <w:vAlign w:val="bottom"/>
          </w:tcPr>
          <w:p>
            <w:pPr>
              <w:spacing w:after="0"/>
              <w:rPr>
                <w:sz w:val="13"/>
                <w:szCs w:val="13"/>
                <w:color w:val="auto"/>
              </w:rPr>
            </w:pPr>
          </w:p>
        </w:tc>
        <w:tc>
          <w:tcPr>
            <w:tcW w:w="124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 of</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Net Revenues ​​​ Fiscal 2026</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Net Revenues ​​​ $</w:t>
            </w:r>
          </w:p>
        </w:tc>
        <w:tc>
          <w:tcPr>
            <w:tcW w:w="50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Optoelectronics and Manufacturing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revenues</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Security division during YTD Q2 fiscal 2026 increased year-over-year due to an increase in product and service revenues of approximately $27.3 million and $47.4 million, respectively. The increase in product revenues was primarily driven by growth in aviation screening systems and RF products. The increase in service revenue was due primarily to an increase in the installed base of products.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for the Optoelectronics and Manufacturing division during YTD Q2 fiscal 2026 increased year-over year as a result of an increase in revenue in both our contract manufacturing business and our optoelectronics business.</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Revenues for the Healthcare division during YTD Q2 fiscal 2026 decreased year-over-year primarily due to a decrease in patient monitoring sales.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2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YTD Q2</w:t>
            </w:r>
          </w:p>
        </w:tc>
        <w:tc>
          <w:tcPr>
            <w:tcW w:w="140" w:type="dxa"/>
            <w:vAlign w:val="bottom"/>
          </w:tcPr>
          <w:p>
            <w:pPr>
              <w:spacing w:after="0"/>
              <w:rPr>
                <w:sz w:val="13"/>
                <w:szCs w:val="13"/>
                <w:color w:val="auto"/>
              </w:rPr>
            </w:pPr>
          </w:p>
        </w:tc>
        <w:tc>
          <w:tcPr>
            <w:tcW w:w="12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YTD Q2</w:t>
            </w:r>
          </w:p>
        </w:tc>
        <w:tc>
          <w:tcPr>
            <w:tcW w:w="140" w:type="dxa"/>
            <w:vAlign w:val="bottom"/>
          </w:tcPr>
          <w:p>
            <w:pPr>
              <w:spacing w:after="0"/>
              <w:rPr>
                <w:sz w:val="13"/>
                <w:szCs w:val="13"/>
                <w:color w:val="auto"/>
              </w:rPr>
            </w:pPr>
          </w:p>
        </w:tc>
        <w:tc>
          <w:tcPr>
            <w:tcW w:w="10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3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​​​Net Revenues  ​​​</w:t>
            </w:r>
          </w:p>
        </w:tc>
        <w:tc>
          <w:tcPr>
            <w:tcW w:w="8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​​​Net Revenues  ​​​</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increased approximately $6.1 million in YTD Q2 fiscal 2026 as compared to the prior year driven by the increase in sales. The gross margin decreased as compared to the prior year comparable period as the prior year period had a favorable mix of Security division product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YTD Q2</w:t>
            </w:r>
          </w:p>
        </w:tc>
        <w:tc>
          <w:tcPr>
            <w:tcW w:w="140" w:type="dxa"/>
            <w:vAlign w:val="bottom"/>
          </w:tcPr>
          <w:p>
            <w:pPr>
              <w:spacing w:after="0"/>
              <w:rPr>
                <w:sz w:val="13"/>
                <w:szCs w:val="13"/>
                <w:color w:val="auto"/>
              </w:rPr>
            </w:pPr>
          </w:p>
        </w:tc>
        <w:tc>
          <w:tcPr>
            <w:tcW w:w="11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 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YTD Q2</w:t>
            </w:r>
          </w:p>
        </w:tc>
        <w:tc>
          <w:tcPr>
            <w:tcW w:w="160" w:type="dxa"/>
            <w:vAlign w:val="bottom"/>
          </w:tcPr>
          <w:p>
            <w:pPr>
              <w:spacing w:after="0"/>
              <w:rPr>
                <w:sz w:val="13"/>
                <w:szCs w:val="13"/>
                <w:color w:val="auto"/>
              </w:rPr>
            </w:pPr>
          </w:p>
        </w:tc>
        <w:tc>
          <w:tcPr>
            <w:tcW w:w="108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9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Revenues ​​​ Fiscal 2026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Revenues ​​​</w:t>
            </w:r>
          </w:p>
        </w:tc>
        <w:tc>
          <w:tcPr>
            <w:tcW w:w="1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restructuring and other charges,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7</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expenses for YTD Q2 fiscal 2026 were $5.7 million lower than in the same prior-year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primarily due to decreased employee compensation and a favorable impact of foreign currency exchange rates in YTD Q2 fiscal 2026 compared to the same prior-year period.</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R&amp;D expense for YTD Q2 fiscal 2026 increased $4.2 million over the same prior-year period driven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compensation costs to support new product development initiatives in our Security division and Healthcare division.</w:t>
      </w:r>
    </w:p>
    <w:p>
      <w:pPr>
        <w:spacing w:after="0" w:line="15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restructuring and other charges. </w:t>
      </w:r>
      <w:r>
        <w:rPr>
          <w:rFonts w:ascii="Times New Roman" w:cs="Times New Roman" w:eastAsia="Times New Roman" w:hAnsi="Times New Roman"/>
          <w:sz w:val="18"/>
          <w:szCs w:val="18"/>
          <w:color w:val="auto"/>
        </w:rPr>
        <w:t>Impairment, restructuring and other charges increased by $4.2 million over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prior-year period. In YTD Q2 fiscal 2026, we recognized $5.6 million in impairment, restructuring and other charges, which included $1.0 million for impairment of assets, $1.1 million for employee terminations, $1.3 million for non-recurring business unit modifications in our Healthcare division, and $2.2 million of non-recurring charges in our Security division. In YTD Q2 fiscal 2025, we recognized $1.4 million in restructuring and other charges, which included $0.6 million in acquisition related costs, $0.2 million for facility closure costs for operational efficiency activities, and $0.6 million for employee terminations.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YTD Q2</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 of</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YTD Q2</w:t>
            </w:r>
          </w:p>
        </w:tc>
        <w:tc>
          <w:tcPr>
            <w:tcW w:w="118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 of</w:t>
            </w:r>
          </w:p>
        </w:tc>
      </w:tr>
      <w:tr>
        <w:trPr>
          <w:trHeight w:val="173"/>
        </w:trPr>
        <w:tc>
          <w:tcPr>
            <w:tcW w:w="39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60" w:type="dxa"/>
            <w:vAlign w:val="bottom"/>
          </w:tcPr>
          <w:p>
            <w:pPr>
              <w:spacing w:after="0"/>
              <w:rPr>
                <w:sz w:val="15"/>
                <w:szCs w:val="15"/>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Revenues</w:t>
            </w:r>
          </w:p>
        </w:tc>
      </w:tr>
      <w:tr>
        <w:trPr>
          <w:trHeight w:val="209"/>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was $16.0 million and $18.1 million for YTD Q2 fiscal 2025 and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increase was due to a charge included in other expense in Q2 fiscal 2026 of $4.4 million for prior service cost amortization due to a pension plan amendment in December 2025 for our former CEO. This increase was partially offset by a decrease in interest expense, net as a result of lower average interest rates on our borrowings due to new convertible notes and paydown of our revolving credit facility and higher interest income on increased levels of cash in YTD Q2 fiscal 2026 compared to the same prior year period.</w:t>
      </w:r>
    </w:p>
    <w:p>
      <w:pPr>
        <w:spacing w:after="0" w:line="1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YTD Q2 fiscal 2025 and 2026, we recognized a provision for income taxes of $16.6 million and $14.5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effective tax rates for YTD Q2 fiscal 2025 and 2026 were 22.9% and 19.7%, respectively. For YTD Q2 fiscal 2025, we recognized a discrete tax benefit of $0.8 million related to equity-based compensation under ASU 2016-09. For YTD Q2 fiscal 2026,</w:t>
      </w:r>
    </w:p>
    <w:p>
      <w:pPr>
        <w:sectPr>
          <w:pgSz w:w="11900" w:h="16838" w:orient="portrait"/>
          <w:cols w:equalWidth="0" w:num="1">
            <w:col w:w="9940"/>
          </w:cols>
          <w:pgMar w:left="980" w:top="661" w:right="97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a discrete tax benefit of $1.7 million related to equity-based compensation under ASU 2016-09 and a benefit of $1.0 million for changes in prior year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cash generated from operations and our credit facilities. Cash and cash equivalents totaled $336.7 million at December 31, 2025 compared to $106.4 million at June 30, 2025. We currently anticipate that our available funds, credit facilities and cash flow from operations will be sufficient to meet our operational cash needs for the next 12 months and the foreseeable future beyond that. In addition, we anticipate that cash generated from operations, without repatriating earnings from our non-U.S. subsidiaries, and our credit facilities will be sufficient to satisfy our current obligations in the U.S.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2025, we issued an aggregate of $575.0 million principal amount of 0.5% convertible senior notes due in February 2031. In connection with the issuance of the 2031 Notes, we repurchased 546,945 shares of our common stock for approximately $146.1 million.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we amended and extended our revolving credit facility to mature in July 2030, to increase the limit from $600 million to $725 million and replaced the $128.1 million term loan with a new $100.0 million term loan. The sub-limit for letters of credit was increased from $300 million to $350 million, which includes up to $300 million for borrowings in certain foreign currencies. As of December 31, 2025, there were no borrowings outstanding under the revolving credit facility, $113.6 million of outstanding letters of credit, and $97.5 million outstanding under the term loan. As of December 31, 2025, the total amount available under our revolving credit facility was $611.4 million. See Note 8 to the consolidated financial statements for further discussion.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Cash flows from operating activities can fluctuate significantly from period to period, as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adjusted for non-cash items, and working capital fluctuations impact cash flows. For YTD Q2 fiscal 2026, cash provided by operations was $79.3 million compared to $15.4 million in the comparable prior-year period. The net increase in cash flows from operating activities was due primarily to favorable improvements in net working capital compared to the prior-year comparable period which were largely attributable to changes in accounts receivable, prepaid expenses and other current assets, and accounts payable, partially offset by unfavorable changes in advances from customers, other liabilities and inventory to support future growth.</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Cash Used in Investing Activities</w:t>
      </w:r>
      <w:r>
        <w:rPr>
          <w:rFonts w:ascii="Times New Roman" w:cs="Times New Roman" w:eastAsia="Times New Roman" w:hAnsi="Times New Roman"/>
          <w:sz w:val="18"/>
          <w:szCs w:val="18"/>
          <w:color w:val="auto"/>
        </w:rPr>
        <w:t>. Net cash used in investing activities was $21.4 million for YTD Q2 fiscal 2026 as compared to $97.6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same prior year period. The decrease in cash used in investing activities was primarily due to cash paid for the acquisition of a business in YTD Q2 fiscal 2025 compared to a negligible amount in YTD Q2 fiscal 2026. Capital expenditures for YTD Q2 fiscal year 2026 were $13.7 million compared to $13.2 million in the same prior-year period.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Cash Provided by Financing Activities</w:t>
      </w:r>
      <w:r>
        <w:rPr>
          <w:rFonts w:ascii="Times New Roman" w:cs="Times New Roman" w:eastAsia="Times New Roman" w:hAnsi="Times New Roman"/>
          <w:sz w:val="18"/>
          <w:szCs w:val="18"/>
          <w:color w:val="auto"/>
        </w:rPr>
        <w:t>. Net cash provided by financing activities was $172.6 million for YTD Q2 fiscal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$89.2 million during the same prior-year period. The increase in cash flows from financing activities was primarily due net proceeds of $562.9 million from issuance of the 2031 Notes, partially offset by (1) net repayment of $178.0 million on our revolving credit facility and (2) the repurchase of common shares of $146.1 million. This is compared to net proceeds of $340.5 million from issuance of the 2029 Notes, partially offset by (1) net repayment of $148.0 million on our revolving credit facility and (2) repurchases of common shares for an aggregate of $80.4 million in the same prior-year period. In connection with the July 2025 amendment and extension of our revolving credit facility, we replaced the $128.1 million term loan with a new $100.0 million term loan. Taxes paid related to net share settlement of equity awards were $36.3 million during YTD Q2 fiscal 2026 compared to $22.6 million in the same prior-year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8 to the condensed consolidated financial statements for a detailed discussion regarding issuance of the 2031 Notes, our revolving credit facility and other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Held by Foreign Subsidiaries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$336.7 million at December 31, 2025. Of this amount, approximately 32% was held by our foreign subsidiaries and subject to repatriation tax considerations. These foreign funds were held primarily by our subsidiaries in United Kingdom, India, Singapore, Canada, and Mexico and to a lesser extent in Malaysia, Albania, and Germany, among other countries. We intend to permanently reinvest certain earnings from foreign operations, and we currently do not anticipate that we will need this cash</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foreign countries to fund our U.S. operations. In the event we repatriate cash from certain foreign operations and if taxes have not previously been withheld on the related earnings, we would provide for withholding taxes at the time we change our intention with regard to the reinvestment of those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about the shares of common stock we purchased during the quarter ended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jc w:val="right"/>
              <w:ind w:right="35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6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1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unit)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gridSpan w:val="2"/>
            <w:vMerge w:val="continue"/>
          </w:tcPr>
          <w:p>
            <w:pPr>
              <w:spacing w:after="0"/>
              <w:rPr>
                <w:sz w:val="15"/>
                <w:szCs w:val="15"/>
                <w:color w:val="auto"/>
              </w:rPr>
            </w:pPr>
          </w:p>
        </w:tc>
        <w:tc>
          <w:tcPr>
            <w:tcW w:w="13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to October 31, 2025</w:t>
            </w: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1,190,556</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1 to November 30,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546,945</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643,611</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to December 31,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643,611</w:t>
            </w: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when there were 1,131,301 shares remaining authorized to repurchase under the then-existing share repurchase program, the Board of Directors renewed the authorization and revised the maximum number of shares to 2,000,000 shares authorized under the stock repurchase program. Upon repurchase, shares of common stock are restored to the status of authorized but unissued shares, and we record them as a reduction in the number of shares of common stock issued and outstanding in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December 31, 2025, other than the reduction of our term loan in July 2025 and issuance of the 2031 Notes in November 2025, there were no material changes outside the ordinary course of business to the information regarding specified contractual obligations contained in our Annual Report on Form 10-K for the fiscal year ended June 30, 2025. See Notes 1, 6, 8 and 10 to the condensed consolidated financial statements for additional information regarding our contractual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other regulatory bodies that are adopted as of the specified effective dates. Unless otherwise discussed, management believes that the impact of recently issued standards, which are not yet effective, will not have a material impact on our Consolidated Financial Statements upon adoption. See Note 1 for further discussion. There were no new pronouncements adopted in the second quarter of fiscal year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discussion of our exposure to market risk, refer to our market risk disclosures set forth in Part II, Item 7A “Quantitative and Qualitative Disclosures About Market Risk” in our Annual Report on Form 10-K for the fiscal year ended June 30, 2025. There have been no material changes in our exposure to market risk during the six months ended December 31, 2025 from that described in the Annual Report.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second quarter of fiscal 2026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litigation and other legal proceedings and claims arising in the ordinary course of our business or otherwise. More information regarding legal proceedings in which we are involved can be found under Note 10, “Commitments and Contingencies” of the Notes to the Consolidated Financial Statements in Part I, Item 1 of this Report, which is incorporated by reference into this Item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financial condition and results of operations in this Quarterly Report on Form 10-Q for the period ended December 31, 2025 should be read together with the risk factors contained in our Annual Report on Form 10-K for the fiscal year ended June 30, 2025, filed with the SEC on August 25, 2025, which describe various risks and uncertainties that could materially affect our business, financial condition and results of operations in the future. There have been no material changes to the risk factors included in our Annual Report on Form 10-K for the fiscal year ended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Issuer Purchases of Equity Securities discussion under Part I, Item 2 - Management’s Discussion and Analysis of Financial Condition and Results of Operations, which is incorporated by reference into this Item 2.</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2025, we issued an aggregate of $575.0 million principal amount of 0.5% convertible senior notes due in February 2031. The 2031 Notes were issued to the initial purchasers in reliance upon Section 4(a)(2) of the Securities Act in transactions not involving any public offering. The 2031 Notes were resold by the initial purchasers to persons whom the initial purchasers reasonably believe are “qualified institutional buyers,” as defined in, and in accordance with, Rule 144A under the Securities Act. Any shares of our common stock that may be issued upon conversion of the 2031 Notes will be issued in reliance upon Section 3(a)(9) of the Securities Act as involving an exchange by us exclusively with our security holders. Initially, a maximum of 1,625,122 shares of our common stock may be issued upon conversion of the 2031 Notes based on the initial maximum conversion rate of 2.8263 shares of common stock per $1,000 principal amount of 2031 Notes which is subject to customary anti-dilution adjustment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 (c) or may represent a non-Rule 10b5-1 trading arrangement under the Exchange Act. During the second quarter of fiscal 2026, none of our directors or officers informed us of the adoption, modification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140" w:type="dxa"/>
            <w:vAlign w:val="bottom"/>
            <w:gridSpan w:val="7"/>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8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8940" w:type="dxa"/>
            <w:vAlign w:val="bottom"/>
            <w:gridSpan w:val="6"/>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Indenture dated as of November 20, 2025 between OSI Systems, Inc. And U.S. Bank Trust Company, National Association,</w:t>
              </w:r>
            </w:hyperlink>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as trustee (1)</w:t>
              </w:r>
            </w:hyperlink>
          </w:p>
        </w:tc>
        <w:tc>
          <w:tcPr>
            <w:tcW w:w="79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8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certificate representing the 0.50% Convertible Senior Notes due 2031 (included as Exhibit A to Exhibit 4.1) (1)</w:t>
              </w:r>
            </w:hyperlink>
          </w:p>
        </w:tc>
        <w:tc>
          <w:tcPr>
            <w:tcW w:w="280" w:type="dxa"/>
            <w:vAlign w:val="bottom"/>
            <w:gridSpan w:val="2"/>
          </w:tcPr>
          <w:p>
            <w:pPr>
              <w:spacing w:after="0"/>
              <w:rPr>
                <w:sz w:val="24"/>
                <w:szCs w:val="24"/>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5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c>
          <w:tcPr>
            <w:tcW w:w="3700" w:type="dxa"/>
            <w:vAlign w:val="bottom"/>
            <w:gridSpan w:val="3"/>
          </w:tcPr>
          <w:p>
            <w:pPr>
              <w:spacing w:after="0"/>
              <w:rPr>
                <w:sz w:val="24"/>
                <w:szCs w:val="24"/>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5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c>
          <w:tcPr>
            <w:tcW w:w="3700" w:type="dxa"/>
            <w:vAlign w:val="bottom"/>
            <w:gridSpan w:val="3"/>
          </w:tcPr>
          <w:p>
            <w:pPr>
              <w:spacing w:after="0"/>
              <w:rPr>
                <w:sz w:val="24"/>
                <w:szCs w:val="24"/>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5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pursuant to Section 906 of the Sarbanes-Oxley Act of 2002</w:t>
            </w:r>
          </w:p>
        </w:tc>
        <w:tc>
          <w:tcPr>
            <w:tcW w:w="3700" w:type="dxa"/>
            <w:vAlign w:val="bottom"/>
            <w:gridSpan w:val="3"/>
          </w:tcPr>
          <w:p>
            <w:pPr>
              <w:spacing w:after="0"/>
              <w:rPr>
                <w:sz w:val="24"/>
                <w:szCs w:val="24"/>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5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906 of the Sarbanes-Oxley Act of 2002</w:t>
            </w:r>
          </w:p>
        </w:tc>
        <w:tc>
          <w:tcPr>
            <w:tcW w:w="3720" w:type="dxa"/>
            <w:vAlign w:val="bottom"/>
            <w:gridSpan w:val="4"/>
          </w:tcPr>
          <w:p>
            <w:pPr>
              <w:spacing w:after="0"/>
              <w:rPr>
                <w:sz w:val="24"/>
                <w:szCs w:val="24"/>
                <w:color w:val="auto"/>
              </w:rPr>
            </w:pP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980" w:right="20" w:hanging="971"/>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2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November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-179070</wp:posOffset>
            </wp:positionV>
            <wp:extent cx="15684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 City of Hawthorne, State of California on the 29th day of January 2026.</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OSI SYSTEMS,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Ajay Mehra</w:t>
            </w:r>
          </w:p>
        </w:tc>
      </w:tr>
      <w:tr>
        <w:trPr>
          <w:trHeight w:val="191"/>
        </w:trPr>
        <w:tc>
          <w:tcPr>
            <w:tcW w:w="30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Ajay Mehra</w:t>
            </w:r>
          </w:p>
        </w:tc>
      </w:tr>
      <w:tr>
        <w:trPr>
          <w:trHeight w:val="216"/>
        </w:trPr>
        <w:tc>
          <w:tcPr>
            <w:tcW w:w="3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Edrick</w:t>
            </w:r>
          </w:p>
        </w:tc>
      </w:tr>
      <w:tr>
        <w:trPr>
          <w:trHeight w:val="191"/>
        </w:trPr>
        <w:tc>
          <w:tcPr>
            <w:tcW w:w="30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Alan Edrick</w:t>
            </w:r>
          </w:p>
        </w:tc>
      </w:tr>
      <w:tr>
        <w:trPr>
          <w:trHeight w:val="216"/>
        </w:trPr>
        <w:tc>
          <w:tcPr>
            <w:tcW w:w="3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Cary Okawa</w:t>
            </w:r>
          </w:p>
        </w:tc>
      </w:tr>
      <w:tr>
        <w:trPr>
          <w:trHeight w:val="191"/>
        </w:trPr>
        <w:tc>
          <w:tcPr>
            <w:tcW w:w="30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Cary Okawa</w:t>
            </w:r>
          </w:p>
        </w:tc>
      </w:tr>
      <w:tr>
        <w:trPr>
          <w:trHeight w:val="216"/>
        </w:trPr>
        <w:tc>
          <w:tcPr>
            <w:tcW w:w="3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3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Certification required by Rule 13a-14(a) or Rule 15d-14(a)</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 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Ajay Mehra,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OSI Systems,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 January 29, 2026</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 Ajay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17145</wp:posOffset>
            </wp:positionV>
            <wp:extent cx="3077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Ajay Mehra</w:t>
      </w:r>
    </w:p>
    <w:p>
      <w:pPr>
        <w:spacing w:after="0" w:line="2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Certification required by Rule 13a-14(a) or Rule 15d-14(a)</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 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Edrick,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OSI Systems,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 January 29, 2026</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17145</wp:posOffset>
            </wp:positionV>
            <wp:extent cx="3077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Alan Edrick</w:t>
      </w:r>
    </w:p>
    <w:p>
      <w:pPr>
        <w:spacing w:after="0" w:line="2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ind w:left="88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OSI Systems, Inc. (the “Company”) on Form 10-Q for the quarter ended December 31, 2025, as filed with the Securities and Exchange Commission on the date hereof (the “Report”), I, Ajay Mehra,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62"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 January 29, 2026</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 Ajay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17145</wp:posOffset>
            </wp:positionV>
            <wp:extent cx="3077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Ajay Mehra</w:t>
      </w:r>
    </w:p>
    <w:p>
      <w:pPr>
        <w:spacing w:after="0" w:line="2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certification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OSI Systems, Inc. (the “Company”) on Form 10-Q for the quarter ended December 31, 2025, as filed with the Securities and Exchange Commission on the date hereof (the “Report”), I, Alan Edrick,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62"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 January 29, 2026</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17145</wp:posOffset>
            </wp:positionV>
            <wp:extent cx="3077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Alan Edrick</w:t>
      </w:r>
    </w:p>
    <w:p>
      <w:pPr>
        <w:spacing w:after="0" w:line="2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certification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lvl w:ilvl="1">
      <w:lvlJc w:val="left"/>
      <w:lvlText w:val="%2"/>
      <w:numFmt w:val="decimal"/>
      <w:start w:val="104"/>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49" Type="http://schemas.openxmlformats.org/officeDocument/2006/relationships/hyperlink" Target="https://www.sec.gov/Archives/edgar/data/1039065/000110465925114644/tm2531837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2026-01-29T16:54:32Z</dcterms:created>
  <dcterms:modified xsi:type="dcterms:W3CDTF">2026-01-29T16:54:32Z</dcterms:modified>
</cp:coreProperties>
</file>