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252026_110835.xml.htm"/>
      <w:bookmarkStart w:id="1" w:name="ksform408252026_11083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CHOPRA DEEPAK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12525 CHADRON AVE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HAWTHORNE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90250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OSI SYSTEMS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OSIS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5"/>
        <w:gridCol w:w="900"/>
        <w:gridCol w:w="771"/>
        <w:gridCol w:w="598"/>
        <w:gridCol w:w="345"/>
        <w:gridCol w:w="965"/>
        <w:gridCol w:w="446"/>
        <w:gridCol w:w="835"/>
        <w:gridCol w:w="1147"/>
        <w:gridCol w:w="986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20,403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206.73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274,218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23,540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206.73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250,194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RSUs are issued pursuant to performance based vesting.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Pursuant to a net settlement, shares of stock were tendered to satisfy tax withholding obligations. No shares were sold.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Deepak Chopra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47058" TargetMode="External"/><Relationship Id="rId5" Type="http://schemas.openxmlformats.org/officeDocument/2006/relationships/hyperlink" Target="http://www.sec.gov/cgi-bin/browse-edgar?action=getcompany&amp;CIK=000103906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595</Words>
  <Characters>3229</Characters>
  <CharactersWithSpaces>3749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